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32995" w14:textId="77777777" w:rsidR="00CE0272" w:rsidRPr="002633A2" w:rsidRDefault="00271832" w:rsidP="00CE027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bookmarkStart w:id="0" w:name="_Hlk113489226"/>
      <w:r w:rsidRPr="002633A2">
        <w:rPr>
          <w:rFonts w:ascii="Times New Roman" w:eastAsia="方正小标宋简体" w:hAnsi="Times New Roman" w:cs="Times New Roman"/>
          <w:sz w:val="36"/>
          <w:szCs w:val="36"/>
        </w:rPr>
        <w:t>《</w:t>
      </w:r>
      <w:bookmarkEnd w:id="0"/>
      <w:r w:rsidR="00CE0272" w:rsidRPr="002633A2">
        <w:rPr>
          <w:rFonts w:ascii="Times New Roman" w:eastAsia="方正小标宋简体" w:hAnsi="Times New Roman" w:cs="Times New Roman"/>
          <w:sz w:val="36"/>
          <w:szCs w:val="36"/>
        </w:rPr>
        <w:t>嵌合抗原受体</w:t>
      </w:r>
      <w:r w:rsidR="00CE0272" w:rsidRPr="002633A2">
        <w:rPr>
          <w:rFonts w:ascii="Times New Roman" w:eastAsia="方正小标宋简体" w:hAnsi="Times New Roman" w:cs="Times New Roman"/>
          <w:sz w:val="36"/>
          <w:szCs w:val="36"/>
        </w:rPr>
        <w:t>T</w:t>
      </w:r>
      <w:r w:rsidR="00CE0272" w:rsidRPr="002633A2">
        <w:rPr>
          <w:rFonts w:ascii="Times New Roman" w:eastAsia="方正小标宋简体" w:hAnsi="Times New Roman" w:cs="Times New Roman"/>
          <w:sz w:val="36"/>
          <w:szCs w:val="36"/>
        </w:rPr>
        <w:t>细胞治疗淋巴血液系统恶性肿瘤临床试验技术指导原则（征求意见稿）</w:t>
      </w:r>
      <w:r w:rsidRPr="002633A2">
        <w:rPr>
          <w:rFonts w:ascii="Times New Roman" w:eastAsia="方正小标宋简体" w:hAnsi="Times New Roman" w:cs="Times New Roman"/>
          <w:sz w:val="36"/>
          <w:szCs w:val="36"/>
        </w:rPr>
        <w:t>》</w:t>
      </w:r>
    </w:p>
    <w:p w14:paraId="0856613C" w14:textId="4D1856B5" w:rsidR="00271832" w:rsidRPr="002633A2" w:rsidRDefault="00271832" w:rsidP="00CE0272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2633A2">
        <w:rPr>
          <w:rFonts w:ascii="Times New Roman" w:eastAsia="方正小标宋简体" w:hAnsi="Times New Roman" w:cs="Times New Roman"/>
          <w:sz w:val="36"/>
          <w:szCs w:val="36"/>
        </w:rPr>
        <w:t>起草说明</w:t>
      </w:r>
    </w:p>
    <w:p w14:paraId="74DCE248" w14:textId="77777777" w:rsidR="00271832" w:rsidRPr="002633A2" w:rsidRDefault="00271832" w:rsidP="00271832">
      <w:pPr>
        <w:pStyle w:val="a7"/>
        <w:numPr>
          <w:ilvl w:val="0"/>
          <w:numId w:val="1"/>
        </w:numPr>
        <w:ind w:firstLineChars="0"/>
        <w:rPr>
          <w:rFonts w:ascii="Times New Roman" w:eastAsia="黑体" w:hAnsi="Times New Roman" w:cs="Times New Roman"/>
          <w:color w:val="000000"/>
          <w:szCs w:val="32"/>
        </w:rPr>
      </w:pPr>
      <w:r w:rsidRPr="002633A2">
        <w:rPr>
          <w:rFonts w:ascii="Times New Roman" w:eastAsia="黑体" w:hAnsi="Times New Roman" w:cs="Times New Roman"/>
          <w:color w:val="000000"/>
          <w:szCs w:val="32"/>
        </w:rPr>
        <w:t>起草目的</w:t>
      </w:r>
    </w:p>
    <w:p w14:paraId="14366FC1" w14:textId="2F3A9555" w:rsidR="00CE0272" w:rsidRPr="002633A2" w:rsidRDefault="00B66712" w:rsidP="009873C9">
      <w:pPr>
        <w:ind w:firstLineChars="200" w:firstLine="640"/>
        <w:rPr>
          <w:rFonts w:ascii="Times New Roman" w:hAnsi="Times New Roman" w:cs="Times New Roman"/>
          <w:szCs w:val="32"/>
        </w:rPr>
      </w:pPr>
      <w:r w:rsidRPr="002633A2">
        <w:rPr>
          <w:rFonts w:ascii="Times New Roman" w:hAnsi="Times New Roman" w:cs="Times New Roman"/>
          <w:szCs w:val="32"/>
        </w:rPr>
        <w:t>嵌合抗原受体</w:t>
      </w:r>
      <w:r w:rsidRPr="002633A2">
        <w:rPr>
          <w:rFonts w:ascii="Times New Roman" w:hAnsi="Times New Roman" w:cs="Times New Roman"/>
          <w:szCs w:val="32"/>
        </w:rPr>
        <w:t xml:space="preserve">T </w:t>
      </w:r>
      <w:r w:rsidRPr="002633A2">
        <w:rPr>
          <w:rFonts w:ascii="Times New Roman" w:hAnsi="Times New Roman" w:cs="Times New Roman"/>
          <w:szCs w:val="32"/>
        </w:rPr>
        <w:t>细胞（</w:t>
      </w:r>
      <w:r w:rsidRPr="002633A2">
        <w:rPr>
          <w:rFonts w:ascii="Times New Roman" w:hAnsi="Times New Roman" w:cs="Times New Roman"/>
          <w:szCs w:val="32"/>
        </w:rPr>
        <w:t>Chimeric antigen receptor T cells, CAR-T</w:t>
      </w:r>
      <w:r w:rsidRPr="002633A2">
        <w:rPr>
          <w:rFonts w:ascii="Times New Roman" w:hAnsi="Times New Roman" w:cs="Times New Roman"/>
          <w:szCs w:val="32"/>
        </w:rPr>
        <w:t>）是指通过基因修饰技术，将病毒等载体导入自体或异体</w:t>
      </w:r>
      <w:r w:rsidRPr="002633A2">
        <w:rPr>
          <w:rFonts w:ascii="Times New Roman" w:hAnsi="Times New Roman" w:cs="Times New Roman"/>
          <w:szCs w:val="32"/>
        </w:rPr>
        <w:t>T</w:t>
      </w:r>
      <w:r w:rsidRPr="002633A2">
        <w:rPr>
          <w:rFonts w:ascii="Times New Roman" w:hAnsi="Times New Roman" w:cs="Times New Roman"/>
          <w:szCs w:val="32"/>
        </w:rPr>
        <w:t>细胞，从而表达由抗原识别结构域、铰链区、跨膜区、共刺激信号激活区等组成的嵌合抗原受体（</w:t>
      </w:r>
      <w:r w:rsidRPr="002633A2">
        <w:rPr>
          <w:rFonts w:ascii="Times New Roman" w:hAnsi="Times New Roman" w:cs="Times New Roman"/>
          <w:szCs w:val="32"/>
        </w:rPr>
        <w:t>Chimeric antigen receptor, CAR</w:t>
      </w:r>
      <w:r w:rsidRPr="002633A2">
        <w:rPr>
          <w:rFonts w:ascii="Times New Roman" w:hAnsi="Times New Roman" w:cs="Times New Roman"/>
          <w:szCs w:val="32"/>
        </w:rPr>
        <w:t>）而形成的一种可以识别某种特定抗原的</w:t>
      </w:r>
      <w:r w:rsidRPr="002633A2">
        <w:rPr>
          <w:rFonts w:ascii="Times New Roman" w:hAnsi="Times New Roman" w:cs="Times New Roman"/>
          <w:szCs w:val="32"/>
        </w:rPr>
        <w:t xml:space="preserve"> T </w:t>
      </w:r>
      <w:r w:rsidRPr="002633A2">
        <w:rPr>
          <w:rFonts w:ascii="Times New Roman" w:hAnsi="Times New Roman" w:cs="Times New Roman"/>
          <w:szCs w:val="32"/>
        </w:rPr>
        <w:t>细胞。</w:t>
      </w:r>
      <w:r w:rsidRPr="002633A2">
        <w:rPr>
          <w:rFonts w:ascii="Times New Roman" w:hAnsi="Times New Roman" w:cs="Times New Roman"/>
          <w:szCs w:val="32"/>
        </w:rPr>
        <w:t xml:space="preserve">CAR-T </w:t>
      </w:r>
      <w:r w:rsidRPr="002633A2">
        <w:rPr>
          <w:rFonts w:ascii="Times New Roman" w:hAnsi="Times New Roman" w:cs="Times New Roman"/>
          <w:szCs w:val="32"/>
        </w:rPr>
        <w:t>输注到患者体内后，可与肿瘤细胞表面特异性抗原相结合而激活，通过释放穿孔素、颗粒酶等直接杀伤肿瘤细胞达到治疗肿瘤的目的。该类产品兼具创新性和复杂性，与传统细胞毒药物、靶</w:t>
      </w:r>
      <w:proofErr w:type="gramStart"/>
      <w:r w:rsidRPr="002633A2">
        <w:rPr>
          <w:rFonts w:ascii="Times New Roman" w:hAnsi="Times New Roman" w:cs="Times New Roman"/>
          <w:szCs w:val="32"/>
        </w:rPr>
        <w:t>向治疗</w:t>
      </w:r>
      <w:proofErr w:type="gramEnd"/>
      <w:r w:rsidRPr="002633A2">
        <w:rPr>
          <w:rFonts w:ascii="Times New Roman" w:hAnsi="Times New Roman" w:cs="Times New Roman"/>
          <w:szCs w:val="32"/>
        </w:rPr>
        <w:t>或其它肿瘤免疫治疗药物相比，在临床试验设计存在诸多不同考虑。</w:t>
      </w:r>
    </w:p>
    <w:p w14:paraId="6B6D217A" w14:textId="4C9025B2" w:rsidR="007A7F0F" w:rsidRPr="002633A2" w:rsidRDefault="00DA0CF9" w:rsidP="009873C9">
      <w:pPr>
        <w:ind w:firstLineChars="200" w:firstLine="640"/>
        <w:rPr>
          <w:rFonts w:ascii="Times New Roman" w:hAnsi="Times New Roman" w:cs="Times New Roman"/>
          <w:szCs w:val="32"/>
        </w:rPr>
      </w:pPr>
      <w:r w:rsidRPr="002633A2">
        <w:rPr>
          <w:rFonts w:ascii="Times New Roman" w:hAnsi="Times New Roman" w:cs="Times New Roman"/>
          <w:szCs w:val="32"/>
        </w:rPr>
        <w:t>为</w:t>
      </w:r>
      <w:r w:rsidR="006A279D" w:rsidRPr="002633A2">
        <w:rPr>
          <w:rFonts w:ascii="Times New Roman" w:hAnsi="Times New Roman" w:cs="Times New Roman"/>
          <w:szCs w:val="32"/>
        </w:rPr>
        <w:t>有助于</w:t>
      </w:r>
      <w:r w:rsidR="0065691D" w:rsidRPr="002633A2">
        <w:rPr>
          <w:rFonts w:ascii="Times New Roman" w:hAnsi="Times New Roman" w:cs="Times New Roman"/>
          <w:szCs w:val="32"/>
        </w:rPr>
        <w:t>进一步规范和指导</w:t>
      </w:r>
      <w:r w:rsidR="00CE0272" w:rsidRPr="002633A2">
        <w:rPr>
          <w:rFonts w:ascii="Times New Roman" w:hAnsi="Times New Roman" w:cs="Times New Roman"/>
          <w:szCs w:val="32"/>
        </w:rPr>
        <w:t>嵌合抗原受体</w:t>
      </w:r>
      <w:r w:rsidR="00CE0272" w:rsidRPr="002633A2">
        <w:rPr>
          <w:rFonts w:ascii="Times New Roman" w:hAnsi="Times New Roman" w:cs="Times New Roman"/>
          <w:szCs w:val="32"/>
        </w:rPr>
        <w:t>T</w:t>
      </w:r>
      <w:r w:rsidR="00CE0272" w:rsidRPr="002633A2">
        <w:rPr>
          <w:rFonts w:ascii="Times New Roman" w:hAnsi="Times New Roman" w:cs="Times New Roman"/>
          <w:szCs w:val="32"/>
        </w:rPr>
        <w:t>细胞治疗产品药物临床试验设计</w:t>
      </w:r>
      <w:r w:rsidR="0065691D" w:rsidRPr="002633A2">
        <w:rPr>
          <w:rFonts w:ascii="Times New Roman" w:hAnsi="Times New Roman" w:cs="Times New Roman"/>
          <w:szCs w:val="32"/>
        </w:rPr>
        <w:t>，</w:t>
      </w:r>
      <w:r w:rsidR="006A279D" w:rsidRPr="002633A2">
        <w:rPr>
          <w:rFonts w:ascii="Times New Roman" w:hAnsi="Times New Roman" w:cs="Times New Roman"/>
          <w:szCs w:val="32"/>
        </w:rPr>
        <w:t>并提供可参考的技术规范</w:t>
      </w:r>
      <w:r w:rsidRPr="002633A2">
        <w:rPr>
          <w:rFonts w:ascii="Times New Roman" w:hAnsi="Times New Roman" w:cs="Times New Roman"/>
          <w:szCs w:val="32"/>
        </w:rPr>
        <w:t>，药品审评中心组织起草了《</w:t>
      </w:r>
      <w:r w:rsidR="00CE0272" w:rsidRPr="002633A2">
        <w:rPr>
          <w:rFonts w:ascii="Times New Roman" w:hAnsi="Times New Roman" w:cs="Times New Roman"/>
          <w:szCs w:val="32"/>
        </w:rPr>
        <w:t>嵌合抗原受体</w:t>
      </w:r>
      <w:r w:rsidR="00CE0272" w:rsidRPr="002633A2">
        <w:rPr>
          <w:rFonts w:ascii="Times New Roman" w:hAnsi="Times New Roman" w:cs="Times New Roman"/>
          <w:szCs w:val="32"/>
        </w:rPr>
        <w:t>T</w:t>
      </w:r>
      <w:r w:rsidR="00CE0272" w:rsidRPr="002633A2">
        <w:rPr>
          <w:rFonts w:ascii="Times New Roman" w:hAnsi="Times New Roman" w:cs="Times New Roman"/>
          <w:szCs w:val="32"/>
        </w:rPr>
        <w:t>细胞治疗淋巴血液系统恶性肿瘤临床试验技术指导原则（征求意见稿）</w:t>
      </w:r>
      <w:r w:rsidRPr="002633A2">
        <w:rPr>
          <w:rFonts w:ascii="Times New Roman" w:hAnsi="Times New Roman" w:cs="Times New Roman"/>
          <w:szCs w:val="32"/>
        </w:rPr>
        <w:t>》</w:t>
      </w:r>
      <w:r w:rsidR="007C1C71" w:rsidRPr="002633A2">
        <w:rPr>
          <w:rFonts w:ascii="Times New Roman" w:hAnsi="Times New Roman" w:cs="Times New Roman"/>
          <w:szCs w:val="32"/>
        </w:rPr>
        <w:t>。</w:t>
      </w:r>
    </w:p>
    <w:p w14:paraId="54AA3244" w14:textId="32E23AE0" w:rsidR="007A7F0F" w:rsidRPr="002633A2" w:rsidRDefault="007A7F0F" w:rsidP="007A7F0F">
      <w:pPr>
        <w:numPr>
          <w:ilvl w:val="0"/>
          <w:numId w:val="2"/>
        </w:numPr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2633A2">
        <w:rPr>
          <w:rFonts w:ascii="Times New Roman" w:eastAsia="黑体" w:hAnsi="Times New Roman" w:cs="Times New Roman"/>
          <w:color w:val="000000"/>
          <w:szCs w:val="32"/>
        </w:rPr>
        <w:t>起草过程</w:t>
      </w:r>
      <w:r w:rsidR="00C41ADE" w:rsidRPr="002633A2">
        <w:rPr>
          <w:rFonts w:ascii="Times New Roman" w:eastAsia="黑体" w:hAnsi="Times New Roman" w:cs="Times New Roman"/>
          <w:color w:val="000000"/>
          <w:szCs w:val="32"/>
        </w:rPr>
        <w:t>和思路</w:t>
      </w:r>
    </w:p>
    <w:p w14:paraId="205738BE" w14:textId="69C5E7BD" w:rsidR="0081493B" w:rsidRPr="002633A2" w:rsidRDefault="0081493B" w:rsidP="0081493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2633A2">
        <w:rPr>
          <w:rFonts w:ascii="Times New Roman" w:hAnsi="Times New Roman" w:cs="Times New Roman"/>
          <w:color w:val="000000"/>
          <w:szCs w:val="32"/>
        </w:rPr>
        <w:t>本指导原则由生物制品临床部牵头，并纳入《药审中心</w:t>
      </w:r>
      <w:r w:rsidR="00B66712" w:rsidRPr="002633A2">
        <w:rPr>
          <w:rFonts w:ascii="Times New Roman" w:hAnsi="Times New Roman" w:cs="Times New Roman"/>
          <w:color w:val="000000"/>
          <w:szCs w:val="32"/>
        </w:rPr>
        <w:t>2024</w:t>
      </w:r>
      <w:r w:rsidRPr="002633A2">
        <w:rPr>
          <w:rFonts w:ascii="Times New Roman" w:hAnsi="Times New Roman" w:cs="Times New Roman"/>
          <w:color w:val="000000"/>
          <w:szCs w:val="32"/>
        </w:rPr>
        <w:t>年指导原则制修订计划》。</w:t>
      </w:r>
      <w:r w:rsidRPr="002633A2">
        <w:rPr>
          <w:rFonts w:ascii="Times New Roman" w:hAnsi="Times New Roman" w:cs="Times New Roman"/>
          <w:color w:val="000000"/>
          <w:szCs w:val="32"/>
        </w:rPr>
        <w:t>2022</w:t>
      </w:r>
      <w:r w:rsidRPr="002633A2">
        <w:rPr>
          <w:rFonts w:ascii="Times New Roman" w:hAnsi="Times New Roman" w:cs="Times New Roman"/>
          <w:color w:val="000000"/>
          <w:szCs w:val="32"/>
        </w:rPr>
        <w:t>年</w:t>
      </w:r>
      <w:r w:rsidR="006275CD" w:rsidRPr="002633A2">
        <w:rPr>
          <w:rFonts w:ascii="Times New Roman" w:hAnsi="Times New Roman" w:cs="Times New Roman"/>
          <w:color w:val="000000"/>
          <w:szCs w:val="32"/>
        </w:rPr>
        <w:t>4</w:t>
      </w:r>
      <w:r w:rsidRPr="002633A2">
        <w:rPr>
          <w:rFonts w:ascii="Times New Roman" w:hAnsi="Times New Roman" w:cs="Times New Roman"/>
          <w:color w:val="000000"/>
          <w:szCs w:val="32"/>
        </w:rPr>
        <w:t>-6</w:t>
      </w:r>
      <w:r w:rsidRPr="002633A2">
        <w:rPr>
          <w:rFonts w:ascii="Times New Roman" w:hAnsi="Times New Roman" w:cs="Times New Roman"/>
          <w:color w:val="000000"/>
          <w:szCs w:val="32"/>
        </w:rPr>
        <w:t>月，起草小组成员对国内外相关产品技术要求进行了调研、翻译和整理，并梳</w:t>
      </w:r>
      <w:r w:rsidRPr="002633A2">
        <w:rPr>
          <w:rFonts w:ascii="Times New Roman" w:hAnsi="Times New Roman" w:cs="Times New Roman"/>
          <w:color w:val="000000"/>
          <w:szCs w:val="32"/>
        </w:rPr>
        <w:lastRenderedPageBreak/>
        <w:t>理和总结</w:t>
      </w:r>
      <w:r w:rsidR="00A2229A" w:rsidRPr="002633A2">
        <w:rPr>
          <w:rFonts w:ascii="Times New Roman" w:hAnsi="Times New Roman" w:cs="Times New Roman"/>
          <w:color w:val="000000"/>
          <w:szCs w:val="32"/>
        </w:rPr>
        <w:t>既往</w:t>
      </w:r>
      <w:r w:rsidRPr="002633A2">
        <w:rPr>
          <w:rFonts w:ascii="Times New Roman" w:hAnsi="Times New Roman" w:cs="Times New Roman"/>
          <w:color w:val="000000"/>
          <w:szCs w:val="32"/>
        </w:rPr>
        <w:t>沟通交流和申报品种相关情况。本指导原则</w:t>
      </w:r>
      <w:r w:rsidR="006275CD" w:rsidRPr="002633A2">
        <w:rPr>
          <w:rFonts w:ascii="Times New Roman" w:hAnsi="Times New Roman" w:cs="Times New Roman"/>
          <w:color w:val="000000"/>
          <w:szCs w:val="32"/>
        </w:rPr>
        <w:t>针对已上市产品和</w:t>
      </w:r>
      <w:r w:rsidR="00EF3BC9" w:rsidRPr="002633A2">
        <w:rPr>
          <w:rFonts w:ascii="Times New Roman" w:hAnsi="Times New Roman" w:cs="Times New Roman"/>
          <w:color w:val="000000"/>
          <w:szCs w:val="32"/>
        </w:rPr>
        <w:t>在</w:t>
      </w:r>
      <w:proofErr w:type="gramStart"/>
      <w:r w:rsidR="00EF3BC9" w:rsidRPr="002633A2">
        <w:rPr>
          <w:rFonts w:ascii="Times New Roman" w:hAnsi="Times New Roman" w:cs="Times New Roman"/>
          <w:color w:val="000000"/>
          <w:szCs w:val="32"/>
        </w:rPr>
        <w:t>研</w:t>
      </w:r>
      <w:proofErr w:type="gramEnd"/>
      <w:r w:rsidR="00EF3BC9" w:rsidRPr="002633A2">
        <w:rPr>
          <w:rFonts w:ascii="Times New Roman" w:hAnsi="Times New Roman" w:cs="Times New Roman"/>
          <w:color w:val="000000"/>
          <w:szCs w:val="32"/>
        </w:rPr>
        <w:t>药物的临床研发情况</w:t>
      </w:r>
      <w:r w:rsidR="00A2229A" w:rsidRPr="002633A2">
        <w:rPr>
          <w:rFonts w:ascii="Times New Roman" w:hAnsi="Times New Roman" w:cs="Times New Roman"/>
          <w:color w:val="000000"/>
          <w:szCs w:val="32"/>
        </w:rPr>
        <w:t>以及既往审评中遇到的问题</w:t>
      </w:r>
      <w:r w:rsidR="006275CD" w:rsidRPr="002633A2">
        <w:rPr>
          <w:rFonts w:ascii="Times New Roman" w:hAnsi="Times New Roman" w:cs="Times New Roman"/>
          <w:color w:val="000000"/>
          <w:szCs w:val="32"/>
        </w:rPr>
        <w:t>进行</w:t>
      </w:r>
      <w:r w:rsidR="00BF1DD6" w:rsidRPr="002633A2">
        <w:rPr>
          <w:rFonts w:ascii="Times New Roman" w:hAnsi="Times New Roman" w:cs="Times New Roman"/>
          <w:color w:val="000000"/>
          <w:szCs w:val="32"/>
        </w:rPr>
        <w:t>阐述</w:t>
      </w:r>
      <w:r w:rsidR="00A2229A" w:rsidRPr="002633A2">
        <w:rPr>
          <w:rFonts w:ascii="Times New Roman" w:hAnsi="Times New Roman" w:cs="Times New Roman"/>
          <w:color w:val="000000"/>
          <w:szCs w:val="32"/>
        </w:rPr>
        <w:t>，</w:t>
      </w:r>
      <w:r w:rsidR="00F12651" w:rsidRPr="002633A2">
        <w:rPr>
          <w:rFonts w:ascii="Times New Roman" w:hAnsi="Times New Roman" w:cs="Times New Roman"/>
          <w:color w:val="000000"/>
          <w:szCs w:val="32"/>
        </w:rPr>
        <w:t>以更好</w:t>
      </w:r>
      <w:r w:rsidR="00C41ADE" w:rsidRPr="002633A2">
        <w:rPr>
          <w:rFonts w:ascii="Times New Roman" w:hAnsi="Times New Roman" w:cs="Times New Roman"/>
          <w:color w:val="000000"/>
          <w:szCs w:val="32"/>
        </w:rPr>
        <w:t>地</w:t>
      </w:r>
      <w:r w:rsidR="006275CD" w:rsidRPr="002633A2">
        <w:rPr>
          <w:rFonts w:ascii="Times New Roman" w:hAnsi="Times New Roman" w:cs="Times New Roman"/>
          <w:color w:val="000000"/>
          <w:szCs w:val="32"/>
        </w:rPr>
        <w:t>提供临床试验设计</w:t>
      </w:r>
      <w:r w:rsidR="00F12651" w:rsidRPr="002633A2">
        <w:rPr>
          <w:rFonts w:ascii="Times New Roman" w:hAnsi="Times New Roman" w:cs="Times New Roman"/>
          <w:color w:val="000000"/>
          <w:szCs w:val="32"/>
        </w:rPr>
        <w:t>建议。</w:t>
      </w:r>
      <w:r w:rsidR="00C41ADE" w:rsidRPr="002633A2">
        <w:rPr>
          <w:rFonts w:ascii="Times New Roman" w:hAnsi="Times New Roman" w:cs="Times New Roman"/>
          <w:color w:val="000000"/>
          <w:szCs w:val="32"/>
        </w:rPr>
        <w:t>本指导原则与</w:t>
      </w:r>
      <w:r w:rsidR="00C41ADE" w:rsidRPr="002633A2">
        <w:rPr>
          <w:rFonts w:ascii="Times New Roman" w:hAnsi="Times New Roman" w:cs="Times New Roman"/>
          <w:color w:val="000000"/>
          <w:szCs w:val="32"/>
        </w:rPr>
        <w:t>ICH</w:t>
      </w:r>
      <w:r w:rsidR="00C41ADE" w:rsidRPr="002633A2">
        <w:rPr>
          <w:rFonts w:ascii="Times New Roman" w:hAnsi="Times New Roman" w:cs="Times New Roman"/>
          <w:color w:val="000000"/>
          <w:szCs w:val="32"/>
        </w:rPr>
        <w:t>、</w:t>
      </w:r>
      <w:r w:rsidR="00C41ADE" w:rsidRPr="002633A2">
        <w:rPr>
          <w:rFonts w:ascii="Times New Roman" w:hAnsi="Times New Roman" w:cs="Times New Roman"/>
          <w:color w:val="000000"/>
          <w:szCs w:val="32"/>
        </w:rPr>
        <w:t>FDA</w:t>
      </w:r>
      <w:r w:rsidR="0097236F" w:rsidRPr="002633A2">
        <w:rPr>
          <w:rFonts w:ascii="Times New Roman" w:hAnsi="Times New Roman" w:cs="Times New Roman"/>
          <w:color w:val="000000"/>
          <w:szCs w:val="32"/>
        </w:rPr>
        <w:t>、</w:t>
      </w:r>
      <w:r w:rsidR="00C41ADE" w:rsidRPr="002633A2">
        <w:rPr>
          <w:rFonts w:ascii="Times New Roman" w:hAnsi="Times New Roman" w:cs="Times New Roman"/>
          <w:color w:val="000000"/>
          <w:szCs w:val="32"/>
        </w:rPr>
        <w:t>EMA</w:t>
      </w:r>
      <w:r w:rsidR="0097236F" w:rsidRPr="002633A2">
        <w:rPr>
          <w:rFonts w:ascii="Times New Roman" w:hAnsi="Times New Roman" w:cs="Times New Roman"/>
          <w:color w:val="000000"/>
          <w:szCs w:val="32"/>
        </w:rPr>
        <w:t>以及国内相关指导原则无原则性差异。</w:t>
      </w:r>
    </w:p>
    <w:p w14:paraId="4D2882ED" w14:textId="214AA757" w:rsidR="007A7F0F" w:rsidRPr="002633A2" w:rsidRDefault="00EF3BC9" w:rsidP="007A7F0F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2633A2">
        <w:rPr>
          <w:rFonts w:ascii="Times New Roman" w:hAnsi="Times New Roman" w:cs="Times New Roman"/>
          <w:color w:val="000000"/>
          <w:szCs w:val="32"/>
        </w:rPr>
        <w:t>本指导原则于</w:t>
      </w:r>
      <w:r w:rsidR="00B66712" w:rsidRPr="002633A2">
        <w:rPr>
          <w:rFonts w:ascii="Times New Roman" w:hAnsi="Times New Roman" w:cs="Times New Roman"/>
          <w:color w:val="000000"/>
          <w:szCs w:val="32"/>
        </w:rPr>
        <w:t>2022</w:t>
      </w:r>
      <w:r w:rsidRPr="002633A2">
        <w:rPr>
          <w:rFonts w:ascii="Times New Roman" w:hAnsi="Times New Roman" w:cs="Times New Roman"/>
          <w:color w:val="000000"/>
          <w:szCs w:val="32"/>
        </w:rPr>
        <w:t>年</w:t>
      </w:r>
      <w:r w:rsidR="00B66712" w:rsidRPr="002633A2">
        <w:rPr>
          <w:rFonts w:ascii="Times New Roman" w:hAnsi="Times New Roman" w:cs="Times New Roman"/>
          <w:color w:val="000000"/>
          <w:szCs w:val="32"/>
        </w:rPr>
        <w:t>7</w:t>
      </w:r>
      <w:r w:rsidRPr="002633A2">
        <w:rPr>
          <w:rFonts w:ascii="Times New Roman" w:hAnsi="Times New Roman" w:cs="Times New Roman"/>
          <w:color w:val="000000"/>
          <w:szCs w:val="32"/>
        </w:rPr>
        <w:t>月形成初稿，</w:t>
      </w:r>
      <w:r w:rsidR="00B66712" w:rsidRPr="002633A2">
        <w:rPr>
          <w:rFonts w:ascii="Times New Roman" w:hAnsi="Times New Roman" w:cs="Times New Roman"/>
          <w:color w:val="000000"/>
          <w:szCs w:val="32"/>
        </w:rPr>
        <w:t>7</w:t>
      </w:r>
      <w:r w:rsidRPr="002633A2">
        <w:rPr>
          <w:rFonts w:ascii="Times New Roman" w:hAnsi="Times New Roman" w:cs="Times New Roman"/>
          <w:color w:val="000000"/>
          <w:szCs w:val="32"/>
        </w:rPr>
        <w:t>月</w:t>
      </w:r>
      <w:r w:rsidR="00B66712" w:rsidRPr="002633A2">
        <w:rPr>
          <w:rFonts w:ascii="Times New Roman" w:hAnsi="Times New Roman" w:cs="Times New Roman"/>
          <w:color w:val="000000"/>
          <w:szCs w:val="32"/>
        </w:rPr>
        <w:t>12</w:t>
      </w:r>
      <w:r w:rsidRPr="002633A2">
        <w:rPr>
          <w:rFonts w:ascii="Times New Roman" w:hAnsi="Times New Roman" w:cs="Times New Roman"/>
          <w:color w:val="000000"/>
          <w:szCs w:val="32"/>
        </w:rPr>
        <w:t>日</w:t>
      </w:r>
      <w:r w:rsidR="00A2229A" w:rsidRPr="002633A2">
        <w:rPr>
          <w:rFonts w:ascii="Times New Roman" w:hAnsi="Times New Roman" w:cs="Times New Roman"/>
          <w:color w:val="000000"/>
          <w:szCs w:val="32"/>
        </w:rPr>
        <w:t>至</w:t>
      </w:r>
      <w:r w:rsidR="00B66712" w:rsidRPr="002633A2">
        <w:rPr>
          <w:rFonts w:ascii="Times New Roman" w:hAnsi="Times New Roman" w:cs="Times New Roman"/>
          <w:color w:val="000000"/>
          <w:szCs w:val="32"/>
        </w:rPr>
        <w:t>19</w:t>
      </w:r>
      <w:r w:rsidRPr="002633A2">
        <w:rPr>
          <w:rFonts w:ascii="Times New Roman" w:hAnsi="Times New Roman" w:cs="Times New Roman"/>
          <w:color w:val="000000"/>
          <w:szCs w:val="32"/>
        </w:rPr>
        <w:t>日经</w:t>
      </w:r>
      <w:proofErr w:type="gramStart"/>
      <w:r w:rsidRPr="002633A2">
        <w:rPr>
          <w:rFonts w:ascii="Times New Roman" w:hAnsi="Times New Roman" w:cs="Times New Roman"/>
          <w:color w:val="000000"/>
          <w:szCs w:val="32"/>
        </w:rPr>
        <w:t>药审中心</w:t>
      </w:r>
      <w:proofErr w:type="gramEnd"/>
      <w:r w:rsidRPr="002633A2">
        <w:rPr>
          <w:rFonts w:ascii="Times New Roman" w:hAnsi="Times New Roman" w:cs="Times New Roman"/>
          <w:color w:val="000000"/>
          <w:szCs w:val="32"/>
        </w:rPr>
        <w:t>内部</w:t>
      </w:r>
      <w:proofErr w:type="gramStart"/>
      <w:r w:rsidRPr="002633A2">
        <w:rPr>
          <w:rFonts w:ascii="Times New Roman" w:hAnsi="Times New Roman" w:cs="Times New Roman"/>
          <w:color w:val="000000"/>
          <w:szCs w:val="32"/>
        </w:rPr>
        <w:t>个</w:t>
      </w:r>
      <w:proofErr w:type="gramEnd"/>
      <w:r w:rsidRPr="002633A2">
        <w:rPr>
          <w:rFonts w:ascii="Times New Roman" w:hAnsi="Times New Roman" w:cs="Times New Roman"/>
          <w:color w:val="000000"/>
          <w:szCs w:val="32"/>
        </w:rPr>
        <w:t>相关专业征求意见，共收集意见</w:t>
      </w:r>
      <w:r w:rsidR="0097236F" w:rsidRPr="002633A2">
        <w:rPr>
          <w:rFonts w:ascii="Times New Roman" w:hAnsi="Times New Roman" w:cs="Times New Roman"/>
          <w:color w:val="000000"/>
          <w:szCs w:val="32"/>
        </w:rPr>
        <w:t>0</w:t>
      </w:r>
      <w:r w:rsidRPr="002633A2">
        <w:rPr>
          <w:rFonts w:ascii="Times New Roman" w:hAnsi="Times New Roman" w:cs="Times New Roman"/>
          <w:color w:val="000000"/>
          <w:szCs w:val="32"/>
        </w:rPr>
        <w:t>条。</w:t>
      </w:r>
      <w:r w:rsidR="00F26D09" w:rsidRPr="00F26D09">
        <w:rPr>
          <w:rFonts w:ascii="Times New Roman" w:hAnsi="Times New Roman" w:cs="Times New Roman" w:hint="eastAsia"/>
          <w:color w:val="000000"/>
          <w:szCs w:val="32"/>
        </w:rPr>
        <w:t>7</w:t>
      </w:r>
      <w:r w:rsidRPr="00F26D09">
        <w:rPr>
          <w:rFonts w:ascii="Times New Roman" w:hAnsi="Times New Roman" w:cs="Times New Roman"/>
          <w:color w:val="000000"/>
          <w:szCs w:val="32"/>
        </w:rPr>
        <w:t>月</w:t>
      </w:r>
      <w:r w:rsidR="00F26D09" w:rsidRPr="00F26D09">
        <w:rPr>
          <w:rFonts w:ascii="Times New Roman" w:hAnsi="Times New Roman" w:cs="Times New Roman" w:hint="eastAsia"/>
          <w:color w:val="000000"/>
          <w:szCs w:val="32"/>
        </w:rPr>
        <w:t>23</w:t>
      </w:r>
      <w:r w:rsidRPr="00F26D09">
        <w:rPr>
          <w:rFonts w:ascii="Times New Roman" w:hAnsi="Times New Roman" w:cs="Times New Roman"/>
          <w:color w:val="000000"/>
          <w:szCs w:val="32"/>
        </w:rPr>
        <w:t>日，</w:t>
      </w:r>
      <w:r w:rsidRPr="002633A2">
        <w:rPr>
          <w:rFonts w:ascii="Times New Roman" w:hAnsi="Times New Roman" w:cs="Times New Roman"/>
          <w:color w:val="000000"/>
          <w:szCs w:val="32"/>
        </w:rPr>
        <w:t>部门</w:t>
      </w:r>
      <w:r w:rsidR="0032158D" w:rsidRPr="002633A2">
        <w:rPr>
          <w:rFonts w:ascii="Times New Roman" w:hAnsi="Times New Roman" w:cs="Times New Roman"/>
          <w:color w:val="000000"/>
          <w:szCs w:val="32"/>
        </w:rPr>
        <w:t>技术委员会审核讨论</w:t>
      </w:r>
      <w:r w:rsidR="0032158D" w:rsidRPr="002633A2">
        <w:rPr>
          <w:rFonts w:ascii="Times New Roman" w:hAnsi="Times New Roman" w:cs="Times New Roman"/>
          <w:color w:val="000000"/>
          <w:szCs w:val="32"/>
        </w:rPr>
        <w:t>,</w:t>
      </w:r>
      <w:r w:rsidR="004D6911" w:rsidRPr="002633A2">
        <w:rPr>
          <w:rFonts w:ascii="Times New Roman" w:hAnsi="Times New Roman" w:cs="Times New Roman"/>
          <w:color w:val="000000"/>
          <w:szCs w:val="32"/>
        </w:rPr>
        <w:t>对指导</w:t>
      </w:r>
      <w:r w:rsidR="008A63AB" w:rsidRPr="002633A2">
        <w:rPr>
          <w:rFonts w:ascii="Times New Roman" w:hAnsi="Times New Roman" w:cs="Times New Roman"/>
          <w:color w:val="000000"/>
          <w:szCs w:val="32"/>
        </w:rPr>
        <w:t>原则征求意见稿的内容进行讨论，建议统一术语和完善表达，</w:t>
      </w:r>
      <w:r w:rsidR="007A7F0F" w:rsidRPr="002633A2">
        <w:rPr>
          <w:rFonts w:ascii="Times New Roman" w:hAnsi="Times New Roman" w:cs="Times New Roman"/>
          <w:color w:val="000000"/>
          <w:szCs w:val="32"/>
        </w:rPr>
        <w:t>形成</w:t>
      </w:r>
      <w:r w:rsidR="0032158D" w:rsidRPr="002633A2">
        <w:rPr>
          <w:rFonts w:ascii="Times New Roman" w:hAnsi="Times New Roman" w:cs="Times New Roman"/>
          <w:color w:val="000000"/>
          <w:szCs w:val="32"/>
        </w:rPr>
        <w:t>拟公开</w:t>
      </w:r>
      <w:r w:rsidR="007A7F0F" w:rsidRPr="002633A2">
        <w:rPr>
          <w:rFonts w:ascii="Times New Roman" w:hAnsi="Times New Roman" w:cs="Times New Roman"/>
          <w:color w:val="000000"/>
          <w:szCs w:val="32"/>
        </w:rPr>
        <w:t>征求意见稿。</w:t>
      </w:r>
    </w:p>
    <w:p w14:paraId="263396E4" w14:textId="77777777" w:rsidR="0032158D" w:rsidRPr="002633A2" w:rsidRDefault="0032158D" w:rsidP="0032158D">
      <w:pPr>
        <w:ind w:firstLineChars="196" w:firstLine="627"/>
        <w:rPr>
          <w:rFonts w:ascii="Times New Roman" w:eastAsia="黑体" w:hAnsi="Times New Roman" w:cs="Times New Roman"/>
          <w:color w:val="000000"/>
          <w:szCs w:val="32"/>
        </w:rPr>
      </w:pPr>
      <w:r w:rsidRPr="002633A2">
        <w:rPr>
          <w:rFonts w:ascii="Times New Roman" w:eastAsia="黑体" w:hAnsi="Times New Roman" w:cs="Times New Roman"/>
          <w:color w:val="000000"/>
          <w:szCs w:val="32"/>
        </w:rPr>
        <w:t>三、</w:t>
      </w:r>
      <w:r w:rsidR="00EF3BC9" w:rsidRPr="002633A2">
        <w:rPr>
          <w:rFonts w:ascii="Times New Roman" w:eastAsia="黑体" w:hAnsi="Times New Roman" w:cs="Times New Roman"/>
          <w:color w:val="000000"/>
          <w:szCs w:val="32"/>
        </w:rPr>
        <w:t>主要内容与说明</w:t>
      </w:r>
    </w:p>
    <w:p w14:paraId="48385ABA" w14:textId="7C1FA24E" w:rsidR="00C41ADE" w:rsidRPr="002633A2" w:rsidRDefault="00DE04C7" w:rsidP="007A7F0F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2633A2">
        <w:rPr>
          <w:rFonts w:ascii="Times New Roman" w:hAnsi="Times New Roman" w:cs="Times New Roman"/>
          <w:color w:val="000000"/>
          <w:szCs w:val="32"/>
        </w:rPr>
        <w:t>本指导原则</w:t>
      </w:r>
      <w:r w:rsidR="00BD0A72" w:rsidRPr="002633A2">
        <w:rPr>
          <w:rFonts w:ascii="Times New Roman" w:hAnsi="Times New Roman" w:cs="Times New Roman"/>
          <w:color w:val="000000"/>
          <w:szCs w:val="32"/>
        </w:rPr>
        <w:t>主要分为三</w:t>
      </w:r>
      <w:r w:rsidR="00F70BB7" w:rsidRPr="002633A2">
        <w:rPr>
          <w:rFonts w:ascii="Times New Roman" w:hAnsi="Times New Roman" w:cs="Times New Roman"/>
          <w:color w:val="000000"/>
          <w:szCs w:val="32"/>
        </w:rPr>
        <w:t>个章节和参考文献。</w:t>
      </w:r>
    </w:p>
    <w:p w14:paraId="6FCE5D5C" w14:textId="43F340F5" w:rsidR="00F70BB7" w:rsidRPr="002633A2" w:rsidRDefault="004676CA" w:rsidP="00F70BB7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2633A2">
        <w:rPr>
          <w:rFonts w:ascii="Times New Roman" w:hAnsi="Times New Roman" w:cs="Times New Roman"/>
          <w:color w:val="000000"/>
          <w:szCs w:val="32"/>
        </w:rPr>
        <w:t>第一个章节</w:t>
      </w:r>
      <w:r w:rsidR="00F70BB7" w:rsidRPr="002633A2">
        <w:rPr>
          <w:rFonts w:ascii="Times New Roman" w:hAnsi="Times New Roman" w:cs="Times New Roman"/>
          <w:color w:val="000000"/>
          <w:szCs w:val="32"/>
        </w:rPr>
        <w:t>概述，</w:t>
      </w:r>
      <w:r w:rsidRPr="002633A2">
        <w:rPr>
          <w:rFonts w:ascii="Times New Roman" w:hAnsi="Times New Roman" w:cs="Times New Roman"/>
          <w:color w:val="000000"/>
          <w:szCs w:val="32"/>
        </w:rPr>
        <w:t>主要介绍了本技术指导原则起草的背景、目的以及适用范围</w:t>
      </w:r>
      <w:r w:rsidR="00F70BB7" w:rsidRPr="002633A2">
        <w:rPr>
          <w:rFonts w:ascii="Times New Roman" w:hAnsi="Times New Roman" w:cs="Times New Roman"/>
          <w:color w:val="000000"/>
          <w:szCs w:val="32"/>
        </w:rPr>
        <w:t>，同时明确了本指导原则为建议性而非强制性，并且其中的观点是阶段性的。</w:t>
      </w:r>
    </w:p>
    <w:p w14:paraId="1CA74711" w14:textId="119DB3D1" w:rsidR="00EE0D53" w:rsidRPr="002633A2" w:rsidRDefault="004676CA" w:rsidP="009D1A92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2633A2">
        <w:rPr>
          <w:rFonts w:ascii="Times New Roman" w:hAnsi="Times New Roman" w:cs="Times New Roman"/>
          <w:color w:val="000000"/>
          <w:szCs w:val="32"/>
        </w:rPr>
        <w:t>第二个章节是</w:t>
      </w:r>
      <w:r w:rsidR="00F70BB7" w:rsidRPr="002633A2">
        <w:rPr>
          <w:rFonts w:ascii="Times New Roman" w:hAnsi="Times New Roman" w:cs="Times New Roman"/>
          <w:color w:val="000000"/>
          <w:szCs w:val="32"/>
        </w:rPr>
        <w:t>临床试验</w:t>
      </w:r>
      <w:r w:rsidRPr="002633A2">
        <w:rPr>
          <w:rFonts w:ascii="Times New Roman" w:hAnsi="Times New Roman" w:cs="Times New Roman"/>
          <w:color w:val="000000"/>
          <w:szCs w:val="32"/>
        </w:rPr>
        <w:t>设计</w:t>
      </w:r>
      <w:r w:rsidR="00F70BB7" w:rsidRPr="002633A2">
        <w:rPr>
          <w:rFonts w:ascii="Times New Roman" w:hAnsi="Times New Roman" w:cs="Times New Roman"/>
          <w:color w:val="000000"/>
          <w:szCs w:val="32"/>
        </w:rPr>
        <w:t>的整体研发策略</w:t>
      </w:r>
      <w:r w:rsidRPr="002633A2">
        <w:rPr>
          <w:rFonts w:ascii="Times New Roman" w:hAnsi="Times New Roman" w:cs="Times New Roman"/>
          <w:color w:val="000000"/>
          <w:szCs w:val="32"/>
        </w:rPr>
        <w:t>。</w:t>
      </w:r>
      <w:r w:rsidR="00EE0D53" w:rsidRPr="002633A2">
        <w:rPr>
          <w:rFonts w:ascii="Times New Roman" w:hAnsi="Times New Roman" w:cs="Times New Roman"/>
          <w:color w:val="000000"/>
          <w:szCs w:val="32"/>
        </w:rPr>
        <w:t xml:space="preserve">CAR-T </w:t>
      </w:r>
      <w:r w:rsidR="00EE0D53" w:rsidRPr="002633A2">
        <w:rPr>
          <w:rFonts w:ascii="Times New Roman" w:hAnsi="Times New Roman" w:cs="Times New Roman"/>
          <w:color w:val="000000"/>
          <w:szCs w:val="32"/>
        </w:rPr>
        <w:t>细胞产品可能引起细胞因子释放综合征和神经毒性等不良反应，在某些情况下甚至可能危及患者生命。</w:t>
      </w:r>
      <w:r w:rsidR="004013DA" w:rsidRPr="002633A2">
        <w:rPr>
          <w:rFonts w:ascii="Times New Roman" w:hAnsi="Times New Roman" w:cs="Times New Roman"/>
          <w:color w:val="000000"/>
          <w:szCs w:val="32"/>
        </w:rPr>
        <w:t>申办方需要结合</w:t>
      </w:r>
      <w:r w:rsidR="004013DA" w:rsidRPr="002633A2">
        <w:rPr>
          <w:rFonts w:ascii="Times New Roman" w:hAnsi="Times New Roman" w:cs="Times New Roman"/>
          <w:color w:val="000000"/>
          <w:szCs w:val="32"/>
        </w:rPr>
        <w:t>CAR-T</w:t>
      </w:r>
      <w:r w:rsidR="004013DA" w:rsidRPr="002633A2">
        <w:rPr>
          <w:rFonts w:ascii="Times New Roman" w:hAnsi="Times New Roman" w:cs="Times New Roman"/>
          <w:color w:val="000000"/>
          <w:szCs w:val="32"/>
        </w:rPr>
        <w:t>治疗的潜在获益和安全风险、疾病分期和其他可用疗法等因素制定合理的临床研发计划</w:t>
      </w:r>
      <w:r w:rsidR="009D1A92" w:rsidRPr="002633A2">
        <w:rPr>
          <w:rFonts w:ascii="Times New Roman" w:hAnsi="Times New Roman" w:cs="Times New Roman"/>
          <w:color w:val="000000"/>
          <w:szCs w:val="32"/>
        </w:rPr>
        <w:t>。本指导原则在</w:t>
      </w:r>
      <w:r w:rsidR="004013DA" w:rsidRPr="002633A2">
        <w:rPr>
          <w:rFonts w:ascii="Times New Roman" w:hAnsi="Times New Roman" w:cs="Times New Roman"/>
          <w:color w:val="000000"/>
          <w:szCs w:val="32"/>
        </w:rPr>
        <w:t>试验人群</w:t>
      </w:r>
      <w:r w:rsidR="009D1A92" w:rsidRPr="002633A2">
        <w:rPr>
          <w:rFonts w:ascii="Times New Roman" w:hAnsi="Times New Roman" w:cs="Times New Roman"/>
          <w:color w:val="000000"/>
          <w:szCs w:val="32"/>
        </w:rPr>
        <w:t>年龄和既往治疗</w:t>
      </w:r>
      <w:r w:rsidR="004013DA" w:rsidRPr="002633A2">
        <w:rPr>
          <w:rFonts w:ascii="Times New Roman" w:hAnsi="Times New Roman" w:cs="Times New Roman"/>
          <w:color w:val="000000"/>
          <w:szCs w:val="32"/>
        </w:rPr>
        <w:t>、</w:t>
      </w:r>
      <w:proofErr w:type="gramStart"/>
      <w:r w:rsidR="009D1A92" w:rsidRPr="002633A2">
        <w:rPr>
          <w:rFonts w:ascii="Times New Roman" w:hAnsi="Times New Roman" w:cs="Times New Roman"/>
          <w:color w:val="000000"/>
          <w:szCs w:val="32"/>
        </w:rPr>
        <w:t>末线晚期</w:t>
      </w:r>
      <w:proofErr w:type="gramEnd"/>
      <w:r w:rsidR="009D1A92" w:rsidRPr="002633A2">
        <w:rPr>
          <w:rFonts w:ascii="Times New Roman" w:hAnsi="Times New Roman" w:cs="Times New Roman"/>
          <w:color w:val="000000"/>
          <w:szCs w:val="32"/>
        </w:rPr>
        <w:t>患者和更早期患者的</w:t>
      </w:r>
      <w:r w:rsidR="004013DA" w:rsidRPr="002633A2">
        <w:rPr>
          <w:rFonts w:ascii="Times New Roman" w:hAnsi="Times New Roman" w:cs="Times New Roman"/>
          <w:color w:val="000000"/>
          <w:szCs w:val="32"/>
        </w:rPr>
        <w:t>试验设计、桥接治疗和疗效终点等</w:t>
      </w:r>
      <w:r w:rsidR="009D1A92" w:rsidRPr="002633A2">
        <w:rPr>
          <w:rFonts w:ascii="Times New Roman" w:hAnsi="Times New Roman" w:cs="Times New Roman"/>
          <w:color w:val="000000"/>
          <w:szCs w:val="32"/>
        </w:rPr>
        <w:t>方面</w:t>
      </w:r>
      <w:r w:rsidR="00676181" w:rsidRPr="002633A2">
        <w:rPr>
          <w:rFonts w:ascii="Times New Roman" w:hAnsi="Times New Roman" w:cs="Times New Roman"/>
          <w:color w:val="000000"/>
          <w:szCs w:val="32"/>
        </w:rPr>
        <w:t>进行了说明</w:t>
      </w:r>
      <w:r w:rsidR="004B4A2B" w:rsidRPr="002633A2">
        <w:rPr>
          <w:rFonts w:ascii="Times New Roman" w:hAnsi="Times New Roman" w:cs="Times New Roman"/>
          <w:color w:val="000000"/>
          <w:szCs w:val="32"/>
        </w:rPr>
        <w:t>和建议。</w:t>
      </w:r>
    </w:p>
    <w:p w14:paraId="20192608" w14:textId="51659BC4" w:rsidR="009D1A92" w:rsidRPr="002633A2" w:rsidRDefault="009D1A92" w:rsidP="004B4A2B">
      <w:pPr>
        <w:autoSpaceDE w:val="0"/>
        <w:autoSpaceDN w:val="0"/>
        <w:adjustRightInd w:val="0"/>
        <w:spacing w:line="360" w:lineRule="auto"/>
        <w:ind w:firstLineChars="200" w:firstLine="640"/>
        <w:rPr>
          <w:rFonts w:ascii="Times New Roman" w:hAnsi="Times New Roman" w:cs="Times New Roman"/>
          <w:color w:val="000000"/>
          <w:szCs w:val="32"/>
        </w:rPr>
      </w:pPr>
      <w:r w:rsidRPr="002633A2">
        <w:rPr>
          <w:rFonts w:ascii="Times New Roman" w:hAnsi="Times New Roman" w:cs="Times New Roman"/>
          <w:color w:val="000000"/>
          <w:szCs w:val="32"/>
        </w:rPr>
        <w:t>第三个章节是安全性监测和风险管理，</w:t>
      </w:r>
      <w:r w:rsidRPr="002633A2">
        <w:rPr>
          <w:rFonts w:ascii="Times New Roman" w:hAnsi="Times New Roman" w:cs="Times New Roman"/>
          <w:color w:val="000000"/>
          <w:szCs w:val="32"/>
        </w:rPr>
        <w:t>CAR-T</w:t>
      </w:r>
      <w:r w:rsidRPr="002633A2">
        <w:rPr>
          <w:rFonts w:ascii="Times New Roman" w:hAnsi="Times New Roman" w:cs="Times New Roman"/>
          <w:color w:val="000000"/>
          <w:szCs w:val="32"/>
        </w:rPr>
        <w:t>细胞治疗</w:t>
      </w:r>
      <w:r w:rsidRPr="002633A2">
        <w:rPr>
          <w:rFonts w:ascii="Times New Roman" w:hAnsi="Times New Roman" w:cs="Times New Roman"/>
          <w:color w:val="000000"/>
          <w:szCs w:val="32"/>
        </w:rPr>
        <w:lastRenderedPageBreak/>
        <w:t>可引起多种不良反应并可能产生继发肿瘤，本指导原则对安全性风险管理监测、设计和实施等方面进行了充分说明。</w:t>
      </w:r>
    </w:p>
    <w:p w14:paraId="2BC9229F" w14:textId="77777777" w:rsidR="009873C9" w:rsidRPr="002633A2" w:rsidRDefault="009873C9" w:rsidP="009873C9">
      <w:pPr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</w:p>
    <w:p w14:paraId="5E41F53E" w14:textId="77777777" w:rsidR="007A7F0F" w:rsidRPr="002633A2" w:rsidRDefault="007A7F0F" w:rsidP="009873C9">
      <w:pPr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</w:p>
    <w:p w14:paraId="16B5B4C0" w14:textId="77777777" w:rsidR="00C0189A" w:rsidRPr="002633A2" w:rsidRDefault="00C0189A">
      <w:pPr>
        <w:rPr>
          <w:rFonts w:ascii="Times New Roman" w:hAnsi="Times New Roman" w:cs="Times New Roman"/>
        </w:rPr>
      </w:pPr>
    </w:p>
    <w:sectPr w:rsidR="00C0189A" w:rsidRPr="0026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0D123" w14:textId="77777777" w:rsidR="00271832" w:rsidRDefault="00271832" w:rsidP="00271832">
      <w:r>
        <w:separator/>
      </w:r>
    </w:p>
  </w:endnote>
  <w:endnote w:type="continuationSeparator" w:id="0">
    <w:p w14:paraId="5E0E4DCE" w14:textId="77777777" w:rsidR="00271832" w:rsidRDefault="00271832" w:rsidP="0027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3F9B3" w14:textId="77777777" w:rsidR="00271832" w:rsidRDefault="00271832" w:rsidP="00271832">
      <w:r>
        <w:separator/>
      </w:r>
    </w:p>
  </w:footnote>
  <w:footnote w:type="continuationSeparator" w:id="0">
    <w:p w14:paraId="4EDC3FDD" w14:textId="77777777" w:rsidR="00271832" w:rsidRDefault="00271832" w:rsidP="0027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4A723D3"/>
    <w:multiLevelType w:val="hybridMultilevel"/>
    <w:tmpl w:val="AEAEE0BC"/>
    <w:lvl w:ilvl="0" w:tplc="2DCEA60C">
      <w:start w:val="1"/>
      <w:numFmt w:val="japaneseCounting"/>
      <w:lvlText w:val="%1、"/>
      <w:lvlJc w:val="left"/>
      <w:pPr>
        <w:ind w:left="134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 w16cid:durableId="752361873">
    <w:abstractNumId w:val="1"/>
  </w:num>
  <w:num w:numId="2" w16cid:durableId="208833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CE1"/>
    <w:rsid w:val="0006754E"/>
    <w:rsid w:val="00094695"/>
    <w:rsid w:val="00096692"/>
    <w:rsid w:val="000A6337"/>
    <w:rsid w:val="001A1FBB"/>
    <w:rsid w:val="001F0461"/>
    <w:rsid w:val="00261454"/>
    <w:rsid w:val="002633A2"/>
    <w:rsid w:val="00271832"/>
    <w:rsid w:val="00274606"/>
    <w:rsid w:val="002A7620"/>
    <w:rsid w:val="002B5A24"/>
    <w:rsid w:val="002E2093"/>
    <w:rsid w:val="0032158D"/>
    <w:rsid w:val="003677C1"/>
    <w:rsid w:val="0037658C"/>
    <w:rsid w:val="003B6383"/>
    <w:rsid w:val="004013DA"/>
    <w:rsid w:val="00402B70"/>
    <w:rsid w:val="00407DF9"/>
    <w:rsid w:val="00446616"/>
    <w:rsid w:val="00452803"/>
    <w:rsid w:val="004676CA"/>
    <w:rsid w:val="004B4066"/>
    <w:rsid w:val="004B4A2B"/>
    <w:rsid w:val="004C4F79"/>
    <w:rsid w:val="004D6145"/>
    <w:rsid w:val="004D6911"/>
    <w:rsid w:val="00525D72"/>
    <w:rsid w:val="005740F9"/>
    <w:rsid w:val="005A3682"/>
    <w:rsid w:val="005B0AFE"/>
    <w:rsid w:val="00601EC4"/>
    <w:rsid w:val="006275CD"/>
    <w:rsid w:val="0065691D"/>
    <w:rsid w:val="00676181"/>
    <w:rsid w:val="006A279D"/>
    <w:rsid w:val="006A6359"/>
    <w:rsid w:val="00712D3C"/>
    <w:rsid w:val="00715028"/>
    <w:rsid w:val="007650C0"/>
    <w:rsid w:val="00767171"/>
    <w:rsid w:val="00774D17"/>
    <w:rsid w:val="00787001"/>
    <w:rsid w:val="00790B49"/>
    <w:rsid w:val="00797D2F"/>
    <w:rsid w:val="007A7F0F"/>
    <w:rsid w:val="007C1C71"/>
    <w:rsid w:val="007F0CE1"/>
    <w:rsid w:val="008131B6"/>
    <w:rsid w:val="0081493B"/>
    <w:rsid w:val="008A63AB"/>
    <w:rsid w:val="0097236F"/>
    <w:rsid w:val="009873C9"/>
    <w:rsid w:val="009D1A92"/>
    <w:rsid w:val="009E5F02"/>
    <w:rsid w:val="00A203A3"/>
    <w:rsid w:val="00A2229A"/>
    <w:rsid w:val="00A30E0C"/>
    <w:rsid w:val="00A533F5"/>
    <w:rsid w:val="00A85985"/>
    <w:rsid w:val="00A91523"/>
    <w:rsid w:val="00A9382E"/>
    <w:rsid w:val="00AC64A7"/>
    <w:rsid w:val="00B25385"/>
    <w:rsid w:val="00B34FD0"/>
    <w:rsid w:val="00B66712"/>
    <w:rsid w:val="00B73DF2"/>
    <w:rsid w:val="00B82B69"/>
    <w:rsid w:val="00B8318D"/>
    <w:rsid w:val="00BB35AF"/>
    <w:rsid w:val="00BD0A72"/>
    <w:rsid w:val="00BF1DD6"/>
    <w:rsid w:val="00C0189A"/>
    <w:rsid w:val="00C41ADE"/>
    <w:rsid w:val="00C606B5"/>
    <w:rsid w:val="00C64C5E"/>
    <w:rsid w:val="00CE0272"/>
    <w:rsid w:val="00D01809"/>
    <w:rsid w:val="00D05E53"/>
    <w:rsid w:val="00D21F7C"/>
    <w:rsid w:val="00D51B98"/>
    <w:rsid w:val="00D543C1"/>
    <w:rsid w:val="00D55D92"/>
    <w:rsid w:val="00DA0CF9"/>
    <w:rsid w:val="00DA59FB"/>
    <w:rsid w:val="00DE04C7"/>
    <w:rsid w:val="00E003FD"/>
    <w:rsid w:val="00E81830"/>
    <w:rsid w:val="00EA56F6"/>
    <w:rsid w:val="00EB014F"/>
    <w:rsid w:val="00EE0D53"/>
    <w:rsid w:val="00EF3BC9"/>
    <w:rsid w:val="00F12651"/>
    <w:rsid w:val="00F26D09"/>
    <w:rsid w:val="00F31F59"/>
    <w:rsid w:val="00F46B8D"/>
    <w:rsid w:val="00F5388E"/>
    <w:rsid w:val="00F70BB7"/>
    <w:rsid w:val="00F8475F"/>
    <w:rsid w:val="00F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EE0E2"/>
  <w15:chartTrackingRefBased/>
  <w15:docId w15:val="{C5D88735-C4A7-4228-A7E1-E03BA5B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832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1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1832"/>
    <w:rPr>
      <w:sz w:val="18"/>
      <w:szCs w:val="18"/>
    </w:rPr>
  </w:style>
  <w:style w:type="paragraph" w:styleId="a7">
    <w:name w:val="List Paragraph"/>
    <w:basedOn w:val="a"/>
    <w:uiPriority w:val="34"/>
    <w:qFormat/>
    <w:rsid w:val="002718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167</Words>
  <Characters>953</Characters>
  <Application>Microsoft Office Word</Application>
  <DocSecurity>0</DocSecurity>
  <Lines>7</Lines>
  <Paragraphs>2</Paragraphs>
  <ScaleCrop>false</ScaleCrop>
  <Company>Microsoft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刘妍彤</dc:creator>
  <cp:keywords/>
  <dc:description/>
  <cp:lastModifiedBy>生物制品临床部</cp:lastModifiedBy>
  <cp:revision>18</cp:revision>
  <dcterms:created xsi:type="dcterms:W3CDTF">2022-09-07T01:53:00Z</dcterms:created>
  <dcterms:modified xsi:type="dcterms:W3CDTF">2024-07-23T01:44:00Z</dcterms:modified>
</cp:coreProperties>
</file>