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2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bCs/>
          <w:szCs w:val="21"/>
          <w:highlight w:val="none"/>
        </w:rPr>
      </w:pPr>
    </w:p>
    <w:p w14:paraId="5A322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drawing>
          <wp:inline distT="0" distB="0" distL="0" distR="0">
            <wp:extent cx="5399405" cy="216662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24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  <w:highlight w:val="none"/>
        </w:rPr>
        <w:t>附图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18"/>
          <w:szCs w:val="18"/>
          <w:highlight w:val="none"/>
        </w:rPr>
        <w:t>用成人FTU计算TCS的应用剂量</w:t>
      </w:r>
    </w:p>
    <w:p w14:paraId="7F136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/>
          <w:sz w:val="18"/>
          <w:szCs w:val="18"/>
          <w:highlight w:val="none"/>
        </w:rPr>
      </w:pPr>
      <w:r>
        <w:rPr>
          <w:rFonts w:ascii="Times New Roman" w:hAnsi="Times New Roman" w:eastAsia="宋体" w:cs="Times New Roman"/>
          <w:sz w:val="18"/>
          <w:szCs w:val="18"/>
          <w:highlight w:val="none"/>
        </w:rPr>
        <w:t>Supplementary Figure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18"/>
          <w:szCs w:val="18"/>
          <w:highlight w:val="none"/>
        </w:rPr>
        <w:t>C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</w:rPr>
        <w:t>al</w:t>
      </w:r>
      <w:r>
        <w:rPr>
          <w:rFonts w:ascii="Times New Roman" w:hAnsi="Times New Roman" w:eastAsia="宋体" w:cs="Times New Roman"/>
          <w:sz w:val="18"/>
          <w:szCs w:val="18"/>
          <w:highlight w:val="none"/>
        </w:rPr>
        <w:t>culating the application dose of TCS using adult FTU</w:t>
      </w:r>
    </w:p>
    <w:p w14:paraId="6B5B1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注（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note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）：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TCS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，外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用糖皮质激素（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topical corticosteroids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）；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，指尖单位（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fingertip units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06DB3E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DY1ZGVlMmM0M2Q1YTE2ZDg5ZWEzZDg4ZGZmNmUifQ=="/>
  </w:docVars>
  <w:rsids>
    <w:rsidRoot w:val="00000000"/>
    <w:rsid w:val="605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2024-07-18T00:59:53Z</dcterms:created>
  <dc:creator>Lenovo</dc:creator>
  <cp:lastModifiedBy>柠檬史努比</cp:lastModifiedBy>
  <dcterms:modified xsi:type="dcterms:W3CDTF">2024-07-18T01:00:20Z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1DA92F0C5D4B42BA889B4480A412CFB0_12</vt:lpwstr>
  </property>
</Properties>
</file>