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3E5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Times New Roman" w:hAnsi="Times New Roman" w:eastAsia="宋体"/>
          <w:b/>
          <w:bCs/>
          <w:szCs w:val="21"/>
          <w:highlight w:val="none"/>
        </w:rPr>
      </w:pPr>
      <w:bookmarkStart w:id="0" w:name="_GoBack"/>
      <w:r>
        <w:rPr>
          <w:rFonts w:hint="eastAsia" w:ascii="Times New Roman" w:hAnsi="Times New Roman" w:eastAsia="宋体"/>
          <w:b/>
          <w:bCs/>
          <w:szCs w:val="21"/>
          <w:highlight w:val="none"/>
        </w:rPr>
        <w:t>附表</w:t>
      </w:r>
      <w:r>
        <w:rPr>
          <w:rFonts w:hint="eastAsia" w:ascii="Times New Roman" w:hAnsi="Times New Roman" w:eastAsia="宋体"/>
          <w:b/>
          <w:bCs/>
          <w:szCs w:val="21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zCs w:val="21"/>
          <w:highlight w:val="none"/>
        </w:rPr>
        <w:t>AD</w:t>
      </w:r>
      <w:r>
        <w:rPr>
          <w:rFonts w:hint="eastAsia" w:ascii="Times New Roman" w:hAnsi="Times New Roman" w:eastAsia="宋体"/>
          <w:b/>
          <w:bCs/>
          <w:szCs w:val="21"/>
          <w:highlight w:val="none"/>
        </w:rPr>
        <w:t>患者随访记录</w:t>
      </w:r>
    </w:p>
    <w:p w14:paraId="4F494616">
      <w:pPr>
        <w:spacing w:line="276" w:lineRule="auto"/>
        <w:rPr>
          <w:rFonts w:hint="eastAsia" w:ascii="Times New Roman" w:hAnsi="Times New Roman" w:eastAsia="宋体"/>
          <w:b/>
          <w:bCs/>
          <w:szCs w:val="21"/>
          <w:highlight w:val="none"/>
        </w:rPr>
      </w:pPr>
      <w:r>
        <w:rPr>
          <w:rFonts w:ascii="Times New Roman" w:hAnsi="Times New Roman" w:eastAsia="宋体" w:cs="Times New Roman"/>
          <w:sz w:val="20"/>
          <w:szCs w:val="20"/>
          <w:highlight w:val="none"/>
        </w:rPr>
        <w:t xml:space="preserve">Supplementary Table </w:t>
      </w:r>
      <w:r>
        <w:rPr>
          <w:rFonts w:hint="eastAsia" w:ascii="Times New Roman" w:hAnsi="Times New Roman" w:eastAsia="宋体" w:cs="Times New Roman"/>
          <w:sz w:val="20"/>
          <w:szCs w:val="20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highlight w:val="none"/>
        </w:rPr>
        <w:t>T</w:t>
      </w:r>
      <w:r>
        <w:rPr>
          <w:rFonts w:hint="eastAsia" w:ascii="Times New Roman" w:hAnsi="Times New Roman" w:eastAsia="宋体" w:cs="Times New Roman"/>
          <w:sz w:val="20"/>
          <w:szCs w:val="20"/>
          <w:highlight w:val="none"/>
        </w:rPr>
        <w:t>he</w:t>
      </w:r>
      <w:r>
        <w:rPr>
          <w:rFonts w:ascii="Times New Roman" w:hAnsi="Times New Roman" w:eastAsia="宋体" w:cs="Times New Roman"/>
          <w:sz w:val="20"/>
          <w:szCs w:val="20"/>
          <w:highlight w:val="none"/>
        </w:rPr>
        <w:t xml:space="preserve"> follow-up records of AD patients</w:t>
      </w:r>
    </w:p>
    <w:bookmarkEnd w:id="0"/>
    <w:tbl>
      <w:tblPr>
        <w:tblStyle w:val="2"/>
        <w:tblW w:w="8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1"/>
      </w:tblGrid>
      <w:tr w14:paraId="33B0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481" w:type="dxa"/>
            <w:shd w:val="clear" w:color="auto" w:fill="auto"/>
          </w:tcPr>
          <w:p w14:paraId="5C0E8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highlight w:val="none"/>
              </w:rPr>
              <w:t>随访时间：</w:t>
            </w:r>
          </w:p>
        </w:tc>
      </w:tr>
      <w:tr w14:paraId="0D761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481" w:type="dxa"/>
            <w:shd w:val="clear" w:color="auto" w:fill="auto"/>
          </w:tcPr>
          <w:p w14:paraId="1B93B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highlight w:val="none"/>
              </w:rPr>
              <w:t>既往治疗效果：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□基本痊愈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□改善良好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□无明显改善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□加重</w:t>
            </w:r>
          </w:p>
        </w:tc>
      </w:tr>
      <w:tr w14:paraId="6841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481" w:type="dxa"/>
            <w:shd w:val="clear" w:color="auto" w:fill="auto"/>
          </w:tcPr>
          <w:p w14:paraId="061EB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highlight w:val="none"/>
              </w:rPr>
              <w:t>主要检查结果：</w:t>
            </w:r>
          </w:p>
          <w:p w14:paraId="63168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</w:p>
          <w:p w14:paraId="73358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b/>
                <w:sz w:val="18"/>
                <w:szCs w:val="18"/>
                <w:highlight w:val="none"/>
              </w:rPr>
            </w:pPr>
          </w:p>
        </w:tc>
      </w:tr>
      <w:tr w14:paraId="13A7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481" w:type="dxa"/>
            <w:shd w:val="clear" w:color="auto" w:fill="auto"/>
          </w:tcPr>
          <w:p w14:paraId="3C93F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highlight w:val="none"/>
              </w:rPr>
              <w:t>用药依从性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：</w:t>
            </w:r>
          </w:p>
        </w:tc>
      </w:tr>
      <w:tr w14:paraId="26CC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481" w:type="dxa"/>
            <w:shd w:val="clear" w:color="auto" w:fill="auto"/>
          </w:tcPr>
          <w:p w14:paraId="23AC5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highlight w:val="none"/>
              </w:rPr>
              <w:t>疾病控制情况：</w:t>
            </w:r>
            <w:r>
              <w:rPr>
                <w:rFonts w:ascii="Times New Roman" w:hAnsi="Times New Roman" w:eastAsia="宋体"/>
                <w:b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3363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81" w:type="dxa"/>
            <w:shd w:val="clear" w:color="auto" w:fill="auto"/>
          </w:tcPr>
          <w:p w14:paraId="08B8C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highlight w:val="none"/>
              </w:rPr>
              <w:t>用药安全性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：</w:t>
            </w:r>
          </w:p>
        </w:tc>
      </w:tr>
      <w:tr w14:paraId="5073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1" w:type="dxa"/>
            <w:shd w:val="clear" w:color="auto" w:fill="auto"/>
          </w:tcPr>
          <w:p w14:paraId="18DBFEE1">
            <w:pPr>
              <w:pStyle w:val="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Chars="0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是否了解主要治疗药物的不良反应？</w:t>
            </w:r>
          </w:p>
          <w:p w14:paraId="4ACDB3B0">
            <w:pPr>
              <w:pStyle w:val="4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Chars="0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是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否</w:t>
            </w:r>
          </w:p>
        </w:tc>
      </w:tr>
      <w:tr w14:paraId="4B6C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481" w:type="dxa"/>
            <w:shd w:val="clear" w:color="auto" w:fill="auto"/>
          </w:tcPr>
          <w:p w14:paraId="6F46F272">
            <w:pPr>
              <w:pStyle w:val="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Chars="0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出院用药期间是否发生过不良反应，如有，具体是何反应？</w:t>
            </w:r>
          </w:p>
          <w:p w14:paraId="0FD0005E">
            <w:pPr>
              <w:pStyle w:val="4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Chars="0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注射部位反应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结膜炎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睑缘炎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带状疱疹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口腔疱疹</w:t>
            </w:r>
          </w:p>
          <w:p w14:paraId="39AAE0DA">
            <w:pPr>
              <w:pStyle w:val="4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Chars="0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关节痛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震颤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心悸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睡眠障碍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口干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排尿困难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  </w:t>
            </w:r>
          </w:p>
          <w:p w14:paraId="6B80E8B4">
            <w:pPr>
              <w:pStyle w:val="4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Chars="0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视物模糊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其他：</w:t>
            </w:r>
          </w:p>
        </w:tc>
      </w:tr>
      <w:tr w14:paraId="76A9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481" w:type="dxa"/>
            <w:shd w:val="clear" w:color="auto" w:fill="auto"/>
          </w:tcPr>
          <w:p w14:paraId="11514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highlight w:val="none"/>
              </w:rPr>
              <w:t>按医嘱复诊率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：</w:t>
            </w:r>
          </w:p>
        </w:tc>
      </w:tr>
      <w:tr w14:paraId="24CA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481" w:type="dxa"/>
            <w:shd w:val="clear" w:color="auto" w:fill="auto"/>
          </w:tcPr>
          <w:p w14:paraId="71658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出院以后是否门诊复诊？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有：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次；皮肤情况：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</w:t>
            </w:r>
          </w:p>
          <w:p w14:paraId="5FDFB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1980" w:firstLineChars="1100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没有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18EAD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481" w:type="dxa"/>
            <w:shd w:val="clear" w:color="auto" w:fill="auto"/>
          </w:tcPr>
          <w:p w14:paraId="7C606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highlight w:val="none"/>
              </w:rPr>
              <w:t>再入院或再就诊：</w:t>
            </w:r>
          </w:p>
        </w:tc>
      </w:tr>
      <w:tr w14:paraId="3CBE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481" w:type="dxa"/>
            <w:shd w:val="clear" w:color="auto" w:fill="auto"/>
          </w:tcPr>
          <w:p w14:paraId="053D7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上次出院到现在，期间有无急性加重？□无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□有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次，距离出院时间：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天</w:t>
            </w:r>
          </w:p>
          <w:p w14:paraId="227BA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门诊就诊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       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住院治疗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（医院级别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，住院天数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u w:val="single"/>
              </w:rPr>
              <w:t>天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）</w:t>
            </w:r>
          </w:p>
          <w:p w14:paraId="7E131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药物调整：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  <w:u w:val="single"/>
              </w:rPr>
              <w:t xml:space="preserve">                                              </w:t>
            </w:r>
          </w:p>
        </w:tc>
      </w:tr>
      <w:tr w14:paraId="4FD3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481" w:type="dxa"/>
            <w:shd w:val="clear" w:color="auto" w:fill="auto"/>
          </w:tcPr>
          <w:p w14:paraId="6D898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highlight w:val="none"/>
              </w:rPr>
              <w:t>复诊或再就诊指标：</w:t>
            </w:r>
          </w:p>
        </w:tc>
      </w:tr>
      <w:tr w14:paraId="22AA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481" w:type="dxa"/>
            <w:shd w:val="clear" w:color="auto" w:fill="auto"/>
          </w:tcPr>
          <w:p w14:paraId="107DCE6D">
            <w:pPr>
              <w:pStyle w:val="4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Chars="0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>SCORAD</w:t>
            </w:r>
          </w:p>
          <w:p w14:paraId="4564E0CC">
            <w:pPr>
              <w:pStyle w:val="4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Chars="0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>EASI</w:t>
            </w:r>
          </w:p>
          <w:p w14:paraId="4A10CA99">
            <w:pPr>
              <w:pStyle w:val="4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Chars="0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>PP-NRS</w:t>
            </w:r>
          </w:p>
          <w:p w14:paraId="01393D48">
            <w:pPr>
              <w:pStyle w:val="4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Chars="0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>POEM</w:t>
            </w:r>
          </w:p>
          <w:p w14:paraId="0BF0A3A3">
            <w:pPr>
              <w:pStyle w:val="4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Chars="0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>DLQI</w:t>
            </w:r>
          </w:p>
          <w:p w14:paraId="29C26BB3">
            <w:pPr>
              <w:pStyle w:val="4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Chars="0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>ADCT</w:t>
            </w:r>
          </w:p>
        </w:tc>
      </w:tr>
      <w:tr w14:paraId="1E2E5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481" w:type="dxa"/>
            <w:shd w:val="clear" w:color="auto" w:fill="auto"/>
          </w:tcPr>
          <w:p w14:paraId="0161C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highlight w:val="none"/>
              </w:rPr>
              <w:t>满意度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：</w:t>
            </w:r>
          </w:p>
        </w:tc>
      </w:tr>
      <w:tr w14:paraId="7BD6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81" w:type="dxa"/>
            <w:shd w:val="clear" w:color="auto" w:fill="auto"/>
          </w:tcPr>
          <w:p w14:paraId="73E8D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您对我们医院的服务满意吗？</w:t>
            </w:r>
          </w:p>
          <w:p w14:paraId="46141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非常满意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满意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可以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不满意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较差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非常差）</w:t>
            </w:r>
          </w:p>
          <w:p w14:paraId="0BB12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您对我们临床药师的全程药学监护服务满意吗？</w:t>
            </w:r>
          </w:p>
          <w:p w14:paraId="26F40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非常满意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满意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可以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不满意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较差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非常差）</w:t>
            </w:r>
          </w:p>
        </w:tc>
      </w:tr>
      <w:tr w14:paraId="1BDD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1" w:type="dxa"/>
            <w:shd w:val="clear" w:color="auto" w:fill="auto"/>
          </w:tcPr>
          <w:p w14:paraId="63D26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highlight w:val="none"/>
              </w:rPr>
              <w:t>其他用药疑问：</w:t>
            </w:r>
          </w:p>
          <w:p w14:paraId="1AD85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b/>
                <w:sz w:val="18"/>
                <w:szCs w:val="18"/>
                <w:highlight w:val="none"/>
              </w:rPr>
            </w:pPr>
          </w:p>
          <w:p w14:paraId="77FC3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b/>
                <w:sz w:val="18"/>
                <w:szCs w:val="18"/>
                <w:highlight w:val="none"/>
              </w:rPr>
            </w:pPr>
          </w:p>
          <w:p w14:paraId="221BB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/>
                <w:b/>
                <w:sz w:val="18"/>
                <w:szCs w:val="18"/>
                <w:highlight w:val="none"/>
              </w:rPr>
            </w:pPr>
          </w:p>
        </w:tc>
      </w:tr>
    </w:tbl>
    <w:p w14:paraId="18D8D0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ascii="Times New Roman" w:hAnsi="Times New Roman" w:eastAsia="宋体" w:cs="Times New Roman"/>
          <w:sz w:val="15"/>
          <w:szCs w:val="15"/>
          <w:highlight w:val="none"/>
        </w:rPr>
      </w:pP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注（note）：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SCORAD，特应性皮炎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评分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（scoring of atopic dermatitis）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；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EASI，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湿疹面积和严重程度指数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（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e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czema area and severity index）；PP-NRS，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瘙痒峰值数值评定量表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（peak pruritus numerical rating scale）；POEM，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患者湿疹自我检查评分量表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（patient-oriented eczema measure）； DLQI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，皮肤病生活质量指数（d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ermatology life quality index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）；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ADCT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，特应性皮炎控制工具（a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topic dermatitis control tool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）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。</w:t>
      </w:r>
    </w:p>
    <w:p w14:paraId="07E4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57944"/>
    <w:multiLevelType w:val="multilevel"/>
    <w:tmpl w:val="018579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5A324F"/>
    <w:multiLevelType w:val="multilevel"/>
    <w:tmpl w:val="035A32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8D1505"/>
    <w:multiLevelType w:val="multilevel"/>
    <w:tmpl w:val="398D1505"/>
    <w:lvl w:ilvl="0" w:tentative="0">
      <w:start w:val="1"/>
      <w:numFmt w:val="bullet"/>
      <w:lvlText w:val="□"/>
      <w:lvlJc w:val="left"/>
      <w:pPr>
        <w:ind w:left="720" w:hanging="360"/>
      </w:pPr>
      <w:rPr>
        <w:rFonts w:hint="eastAsia" w:ascii="宋体" w:hAnsi="宋体" w:eastAsia="宋体" w:cs="Times New Roman"/>
        <w:color w:val="000000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3">
    <w:nsid w:val="66657E51"/>
    <w:multiLevelType w:val="multilevel"/>
    <w:tmpl w:val="66657E51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  <w:color w:val="00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MDY1ZGVlMmM0M2Q1YTE2ZDg5ZWEzZDg4ZGZmNmUifQ=="/>
  </w:docVars>
  <w:rsids>
    <w:rsidRoot w:val="00000000"/>
    <w:rsid w:val="57C3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2024-07-18T00:58:27Z</dcterms:created>
  <dc:creator>Lenovo</dc:creator>
  <cp:lastModifiedBy>柠檬史努比</cp:lastModifiedBy>
  <dcterms:modified xsi:type="dcterms:W3CDTF">2024-07-18T00:59:21Z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5191957067EE43C2834A7518D8DDBB97_12</vt:lpwstr>
  </property>
</Properties>
</file>