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CA0BE">
      <w:pPr>
        <w:keepNext w:val="0"/>
        <w:keepLines w:val="0"/>
        <w:pageBreakBefore w:val="0"/>
        <w:widowControl w:val="0"/>
        <w:kinsoku/>
        <w:wordWrap/>
        <w:overflowPunct/>
        <w:topLinePunct w:val="0"/>
        <w:autoSpaceDE/>
        <w:autoSpaceDN/>
        <w:bidi w:val="0"/>
        <w:adjustRightInd/>
        <w:snapToGrid w:val="0"/>
        <w:spacing w:line="324" w:lineRule="auto"/>
        <w:textAlignment w:val="auto"/>
        <w:rPr>
          <w:rFonts w:hint="eastAsia" w:ascii="Times New Roman" w:hAnsi="Times New Roman" w:eastAsia="宋体"/>
          <w:b/>
          <w:bCs/>
          <w:sz w:val="18"/>
          <w:szCs w:val="18"/>
          <w:highlight w:val="none"/>
        </w:rPr>
      </w:pPr>
      <w:r>
        <w:rPr>
          <w:rFonts w:hint="eastAsia" w:ascii="Times New Roman" w:hAnsi="Times New Roman" w:eastAsia="宋体"/>
          <w:b/>
          <w:bCs/>
          <w:sz w:val="18"/>
          <w:szCs w:val="18"/>
          <w:highlight w:val="none"/>
        </w:rPr>
        <w:t>附表</w:t>
      </w:r>
      <w:bookmarkStart w:id="0" w:name="_Hlk159335758"/>
      <w:r>
        <w:rPr>
          <w:rFonts w:hint="eastAsia" w:ascii="Times New Roman" w:hAnsi="Times New Roman" w:eastAsia="宋体"/>
          <w:b/>
          <w:bCs/>
          <w:sz w:val="18"/>
          <w:szCs w:val="18"/>
          <w:highlight w:val="none"/>
          <w:lang w:val="en-US" w:eastAsia="zh-CN"/>
        </w:rPr>
        <w:t xml:space="preserve">  </w:t>
      </w:r>
      <w:bookmarkStart w:id="1" w:name="_GoBack"/>
      <w:r>
        <w:rPr>
          <w:rFonts w:hint="eastAsia" w:ascii="Times New Roman" w:hAnsi="Times New Roman" w:eastAsia="宋体"/>
          <w:b/>
          <w:bCs/>
          <w:sz w:val="18"/>
          <w:szCs w:val="18"/>
          <w:highlight w:val="none"/>
        </w:rPr>
        <w:t>患者教育手册</w:t>
      </w:r>
      <w:bookmarkEnd w:id="1"/>
    </w:p>
    <w:p w14:paraId="4BA3A46D">
      <w:pPr>
        <w:keepNext w:val="0"/>
        <w:keepLines w:val="0"/>
        <w:pageBreakBefore w:val="0"/>
        <w:widowControl w:val="0"/>
        <w:kinsoku/>
        <w:wordWrap/>
        <w:overflowPunct/>
        <w:topLinePunct w:val="0"/>
        <w:autoSpaceDE/>
        <w:autoSpaceDN/>
        <w:bidi w:val="0"/>
        <w:adjustRightInd/>
        <w:snapToGrid w:val="0"/>
        <w:spacing w:line="324" w:lineRule="auto"/>
        <w:textAlignment w:val="auto"/>
        <w:rPr>
          <w:rFonts w:hint="eastAsia" w:ascii="Times New Roman" w:hAnsi="Times New Roman" w:eastAsia="宋体"/>
          <w:b/>
          <w:bCs/>
          <w:sz w:val="18"/>
          <w:szCs w:val="18"/>
          <w:highlight w:val="none"/>
        </w:rPr>
      </w:pPr>
      <w:r>
        <w:rPr>
          <w:rFonts w:ascii="Times New Roman" w:hAnsi="Times New Roman" w:eastAsia="宋体" w:cs="Times New Roman"/>
          <w:sz w:val="18"/>
          <w:szCs w:val="18"/>
          <w:highlight w:val="none"/>
        </w:rPr>
        <w:t xml:space="preserve">Supplementary Table </w:t>
      </w:r>
      <w:r>
        <w:rPr>
          <w:rFonts w:hint="eastAsia" w:ascii="Times New Roman" w:hAnsi="Times New Roman" w:eastAsia="宋体" w:cs="Times New Roman"/>
          <w:sz w:val="18"/>
          <w:szCs w:val="18"/>
          <w:highlight w:val="none"/>
          <w:lang w:val="en-US" w:eastAsia="zh-CN"/>
        </w:rPr>
        <w:t xml:space="preserve"> </w:t>
      </w:r>
      <w:r>
        <w:rPr>
          <w:rFonts w:ascii="Times New Roman" w:hAnsi="Times New Roman" w:eastAsia="宋体" w:cs="Times New Roman"/>
          <w:sz w:val="18"/>
          <w:szCs w:val="18"/>
          <w:highlight w:val="none"/>
        </w:rPr>
        <w:t>P</w:t>
      </w:r>
      <w:r>
        <w:rPr>
          <w:rFonts w:hint="eastAsia" w:ascii="Times New Roman" w:hAnsi="Times New Roman" w:eastAsia="宋体" w:cs="Times New Roman"/>
          <w:sz w:val="18"/>
          <w:szCs w:val="18"/>
          <w:highlight w:val="none"/>
        </w:rPr>
        <w:t>atient</w:t>
      </w:r>
      <w:r>
        <w:rPr>
          <w:rFonts w:ascii="Times New Roman" w:hAnsi="Times New Roman" w:eastAsia="宋体" w:cs="Times New Roman"/>
          <w:sz w:val="18"/>
          <w:szCs w:val="18"/>
          <w:highlight w:val="none"/>
        </w:rPr>
        <w:t xml:space="preserve"> Education Manual</w:t>
      </w:r>
    </w:p>
    <w:bookmarkEnd w:id="0"/>
    <w:tbl>
      <w:tblPr>
        <w:tblStyle w:val="4"/>
        <w:tblW w:w="9634" w:type="dxa"/>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9"/>
        <w:gridCol w:w="2399"/>
        <w:gridCol w:w="4836"/>
      </w:tblGrid>
      <w:tr w14:paraId="109E920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vMerge w:val="restart"/>
            <w:tcBorders>
              <w:top w:val="single" w:color="auto" w:sz="8" w:space="0"/>
              <w:bottom w:val="single" w:color="7E7E7E" w:themeColor="text1" w:themeTint="80" w:sz="4" w:space="0"/>
              <w:insideH w:val="single" w:sz="4" w:space="0"/>
            </w:tcBorders>
          </w:tcPr>
          <w:p w14:paraId="13ABFC0F">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避免加重因素</w:t>
            </w:r>
          </w:p>
        </w:tc>
        <w:tc>
          <w:tcPr>
            <w:tcW w:w="0" w:type="dxa"/>
            <w:vMerge w:val="restart"/>
            <w:tcBorders>
              <w:top w:val="single" w:color="auto" w:sz="8" w:space="0"/>
              <w:bottom w:val="single" w:color="7E7E7E" w:themeColor="text1" w:themeTint="80" w:sz="4" w:space="0"/>
              <w:insideH w:val="single" w:sz="4" w:space="0"/>
            </w:tcBorders>
          </w:tcPr>
          <w:p w14:paraId="47F17961">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非特异性刺激</w:t>
            </w:r>
          </w:p>
        </w:tc>
        <w:tc>
          <w:tcPr>
            <w:tcW w:w="0" w:type="dxa"/>
            <w:tcBorders>
              <w:top w:val="single" w:color="auto" w:sz="8" w:space="0"/>
              <w:bottom w:val="single" w:color="7E7E7E" w:themeColor="text1" w:themeTint="80" w:sz="4" w:space="0"/>
              <w:insideH w:val="single" w:sz="4" w:space="0"/>
            </w:tcBorders>
          </w:tcPr>
          <w:p w14:paraId="15CA6558">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应穿宽松衣物，尽量避免紧身衣裤，衣物材质应避免羊毛、粗纤维，尽量选用纯棉材质</w:t>
            </w:r>
          </w:p>
        </w:tc>
      </w:tr>
      <w:tr w14:paraId="22AA71F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vMerge w:val="continue"/>
            <w:tcBorders>
              <w:top w:val="single" w:color="7E7E7E" w:themeColor="text1" w:themeTint="80" w:sz="4" w:space="0"/>
              <w:bottom w:val="single" w:color="7E7E7E" w:themeColor="text1" w:themeTint="80" w:sz="4" w:space="0"/>
              <w:insideH w:val="single" w:sz="4" w:space="0"/>
            </w:tcBorders>
          </w:tcPr>
          <w:p w14:paraId="2E55AF3A">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vMerge w:val="continue"/>
            <w:tcBorders>
              <w:top w:val="single" w:color="7E7E7E" w:themeColor="text1" w:themeTint="80" w:sz="4" w:space="0"/>
              <w:bottom w:val="single" w:color="7E7E7E" w:themeColor="text1" w:themeTint="80" w:sz="4" w:space="0"/>
              <w:insideH w:val="single" w:sz="4" w:space="0"/>
            </w:tcBorders>
          </w:tcPr>
          <w:p w14:paraId="283007E2">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tcBorders>
              <w:top w:val="single" w:color="7E7E7E" w:themeColor="text1" w:themeTint="80" w:sz="4" w:space="0"/>
              <w:bottom w:val="single" w:color="7E7E7E" w:themeColor="text1" w:themeTint="80" w:sz="4" w:space="0"/>
              <w:insideH w:val="single" w:sz="4" w:space="0"/>
            </w:tcBorders>
          </w:tcPr>
          <w:p w14:paraId="55AB2B56">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剪短头发或扎起头发减少头发和皮肤的摩擦</w:t>
            </w:r>
          </w:p>
        </w:tc>
      </w:tr>
      <w:tr w14:paraId="0D0E7677">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vMerge w:val="continue"/>
          </w:tcPr>
          <w:p w14:paraId="7FE2BD89">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vMerge w:val="continue"/>
          </w:tcPr>
          <w:p w14:paraId="388E2270">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tcPr>
          <w:p w14:paraId="3FCBEB4B">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剪短指甲、穿长袖和长裤减少搔抓</w:t>
            </w:r>
          </w:p>
        </w:tc>
      </w:tr>
      <w:tr w14:paraId="198F8553">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vMerge w:val="continue"/>
            <w:tcBorders>
              <w:top w:val="single" w:color="7E7E7E" w:themeColor="text1" w:themeTint="80" w:sz="4" w:space="0"/>
              <w:bottom w:val="single" w:color="7E7E7E" w:themeColor="text1" w:themeTint="80" w:sz="4" w:space="0"/>
              <w:insideH w:val="single" w:sz="4" w:space="0"/>
            </w:tcBorders>
          </w:tcPr>
          <w:p w14:paraId="7EE35B04">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tcBorders>
              <w:top w:val="single" w:color="7E7E7E" w:themeColor="text1" w:themeTint="80" w:sz="4" w:space="0"/>
              <w:bottom w:val="single" w:color="7E7E7E" w:themeColor="text1" w:themeTint="80" w:sz="4" w:space="0"/>
              <w:insideH w:val="single" w:sz="4" w:space="0"/>
            </w:tcBorders>
          </w:tcPr>
          <w:p w14:paraId="73279399">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ascii="Times New Roman" w:hAnsi="Times New Roman" w:eastAsia="宋体"/>
                <w:b w:val="0"/>
                <w:bCs w:val="0"/>
                <w:sz w:val="18"/>
                <w:szCs w:val="18"/>
                <w:highlight w:val="none"/>
                <w14:ligatures w14:val="standardContextual"/>
              </w:rPr>
              <w:t>接触性过敏</w:t>
            </w:r>
          </w:p>
        </w:tc>
        <w:tc>
          <w:tcPr>
            <w:tcW w:w="0" w:type="dxa"/>
            <w:tcBorders>
              <w:top w:val="single" w:color="7E7E7E" w:themeColor="text1" w:themeTint="80" w:sz="4" w:space="0"/>
              <w:bottom w:val="single" w:color="7E7E7E" w:themeColor="text1" w:themeTint="80" w:sz="4" w:space="0"/>
              <w:insideH w:val="single" w:sz="4" w:space="0"/>
            </w:tcBorders>
          </w:tcPr>
          <w:p w14:paraId="50564B31">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避免接触镍、新霉素、香料、甲醛、防腐剂、羊毛脂和橡胶等接触致敏物</w:t>
            </w:r>
          </w:p>
        </w:tc>
      </w:tr>
      <w:tr w14:paraId="20A9726F">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vMerge w:val="continue"/>
          </w:tcPr>
          <w:p w14:paraId="31FA718F">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vMerge w:val="restart"/>
          </w:tcPr>
          <w:p w14:paraId="6FE33B76">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环境过敏原</w:t>
            </w:r>
          </w:p>
        </w:tc>
        <w:tc>
          <w:tcPr>
            <w:tcW w:w="0" w:type="dxa"/>
          </w:tcPr>
          <w:p w14:paraId="7B6D06C3">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保持居住环境卫生，室内通风，尽量避免养宠物及易散播花粉的植物</w:t>
            </w:r>
          </w:p>
        </w:tc>
      </w:tr>
      <w:tr w14:paraId="54C30BF8">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vMerge w:val="continue"/>
            <w:tcBorders>
              <w:top w:val="single" w:color="7E7E7E" w:themeColor="text1" w:themeTint="80" w:sz="4" w:space="0"/>
              <w:bottom w:val="single" w:color="7E7E7E" w:themeColor="text1" w:themeTint="80" w:sz="4" w:space="0"/>
              <w:insideH w:val="single" w:sz="4" w:space="0"/>
            </w:tcBorders>
          </w:tcPr>
          <w:p w14:paraId="1F97CF16">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vMerge w:val="continue"/>
            <w:tcBorders>
              <w:top w:val="single" w:color="7E7E7E" w:themeColor="text1" w:themeTint="80" w:sz="4" w:space="0"/>
              <w:bottom w:val="single" w:color="7E7E7E" w:themeColor="text1" w:themeTint="80" w:sz="4" w:space="0"/>
              <w:insideH w:val="single" w:sz="4" w:space="0"/>
            </w:tcBorders>
          </w:tcPr>
          <w:p w14:paraId="1DF052C4">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tcBorders>
              <w:top w:val="single" w:color="7E7E7E" w:themeColor="text1" w:themeTint="80" w:sz="4" w:space="0"/>
              <w:bottom w:val="single" w:color="7E7E7E" w:themeColor="text1" w:themeTint="80" w:sz="4" w:space="0"/>
              <w:insideH w:val="single" w:sz="4" w:space="0"/>
            </w:tcBorders>
          </w:tcPr>
          <w:p w14:paraId="27A3DF87">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禁止床上放置毛绒玩具，加强对床上用品、窗帘、沙发靠垫、地毯等物品的清洁</w:t>
            </w:r>
          </w:p>
        </w:tc>
      </w:tr>
      <w:tr w14:paraId="5190F88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vMerge w:val="continue"/>
          </w:tcPr>
          <w:p w14:paraId="59AEFF56">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tcPr>
          <w:p w14:paraId="298662B5">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食物过敏原</w:t>
            </w:r>
          </w:p>
        </w:tc>
        <w:tc>
          <w:tcPr>
            <w:tcW w:w="0" w:type="dxa"/>
          </w:tcPr>
          <w:p w14:paraId="238572C7">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除非确认由某种食物引起</w:t>
            </w:r>
            <w:r>
              <w:rPr>
                <w:rFonts w:ascii="Times New Roman" w:hAnsi="Times New Roman" w:eastAsia="宋体"/>
                <w:b w:val="0"/>
                <w:bCs w:val="0"/>
                <w:sz w:val="18"/>
                <w:szCs w:val="18"/>
                <w:highlight w:val="none"/>
                <w14:ligatures w14:val="standardContextual"/>
              </w:rPr>
              <w:t>AD</w:t>
            </w:r>
            <w:r>
              <w:rPr>
                <w:rFonts w:hint="eastAsia" w:ascii="Times New Roman" w:hAnsi="Times New Roman" w:eastAsia="宋体"/>
                <w:b w:val="0"/>
                <w:bCs w:val="0"/>
                <w:sz w:val="18"/>
                <w:szCs w:val="18"/>
                <w:highlight w:val="none"/>
                <w14:ligatures w14:val="standardContextual"/>
              </w:rPr>
              <w:t>进展，否则不建议消除特定食物来预防或治疗</w:t>
            </w:r>
            <w:r>
              <w:rPr>
                <w:rFonts w:ascii="Times New Roman" w:hAnsi="Times New Roman" w:eastAsia="宋体"/>
                <w:b w:val="0"/>
                <w:bCs w:val="0"/>
                <w:sz w:val="18"/>
                <w:szCs w:val="18"/>
                <w:highlight w:val="none"/>
                <w14:ligatures w14:val="standardContextual"/>
              </w:rPr>
              <w:t>AD</w:t>
            </w:r>
            <w:r>
              <w:rPr>
                <w:rFonts w:hint="eastAsia" w:ascii="Times New Roman" w:hAnsi="Times New Roman" w:eastAsia="宋体"/>
                <w:b w:val="0"/>
                <w:bCs w:val="0"/>
                <w:sz w:val="18"/>
                <w:szCs w:val="18"/>
                <w:highlight w:val="none"/>
                <w14:ligatures w14:val="standardContextual"/>
              </w:rPr>
              <w:t>，过度避食可导致营养不良</w:t>
            </w:r>
          </w:p>
        </w:tc>
      </w:tr>
      <w:tr w14:paraId="62C2BFB3">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vMerge w:val="restart"/>
            <w:tcBorders>
              <w:top w:val="single" w:color="7E7E7E" w:themeColor="text1" w:themeTint="80" w:sz="4" w:space="0"/>
              <w:bottom w:val="single" w:color="7E7E7E" w:themeColor="text1" w:themeTint="80" w:sz="4" w:space="0"/>
              <w:insideH w:val="single" w:sz="4" w:space="0"/>
            </w:tcBorders>
          </w:tcPr>
          <w:p w14:paraId="419B7B1B">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皮肤护理教育</w:t>
            </w:r>
          </w:p>
        </w:tc>
        <w:tc>
          <w:tcPr>
            <w:tcW w:w="0" w:type="dxa"/>
            <w:vMerge w:val="restart"/>
            <w:tcBorders>
              <w:top w:val="single" w:color="7E7E7E" w:themeColor="text1" w:themeTint="80" w:sz="4" w:space="0"/>
              <w:bottom w:val="single" w:color="7E7E7E" w:themeColor="text1" w:themeTint="80" w:sz="4" w:space="0"/>
              <w:insideH w:val="single" w:sz="4" w:space="0"/>
            </w:tcBorders>
          </w:tcPr>
          <w:p w14:paraId="04CEA4C3">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清洁沐浴</w:t>
            </w:r>
          </w:p>
        </w:tc>
        <w:tc>
          <w:tcPr>
            <w:tcW w:w="0" w:type="dxa"/>
            <w:tcBorders>
              <w:top w:val="single" w:color="7E7E7E" w:themeColor="text1" w:themeTint="80" w:sz="4" w:space="0"/>
              <w:bottom w:val="single" w:color="7E7E7E" w:themeColor="text1" w:themeTint="80" w:sz="4" w:space="0"/>
              <w:insideH w:val="single" w:sz="4" w:space="0"/>
            </w:tcBorders>
          </w:tcPr>
          <w:p w14:paraId="06937A2D">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洗浴温度</w:t>
            </w:r>
            <w:r>
              <w:rPr>
                <w:rFonts w:ascii="Times New Roman" w:hAnsi="Times New Roman" w:eastAsia="宋体"/>
                <w:b w:val="0"/>
                <w:bCs w:val="0"/>
                <w:sz w:val="18"/>
                <w:szCs w:val="18"/>
                <w:highlight w:val="none"/>
                <w14:ligatures w14:val="standardContextual"/>
              </w:rPr>
              <w:t xml:space="preserve">32 ~ 38 </w:t>
            </w:r>
            <w:r>
              <w:rPr>
                <w:rFonts w:hint="eastAsia" w:ascii="Times New Roman" w:hAnsi="Times New Roman" w:eastAsia="宋体"/>
                <w:b w:val="0"/>
                <w:bCs w:val="0"/>
                <w:sz w:val="18"/>
                <w:szCs w:val="18"/>
                <w:highlight w:val="none"/>
                <w14:ligatures w14:val="standardContextual"/>
              </w:rPr>
              <w:t>℃，时间</w:t>
            </w:r>
            <w:r>
              <w:rPr>
                <w:rFonts w:ascii="Times New Roman" w:hAnsi="Times New Roman" w:eastAsia="宋体"/>
                <w:b w:val="0"/>
                <w:bCs w:val="0"/>
                <w:sz w:val="18"/>
                <w:szCs w:val="18"/>
                <w:highlight w:val="none"/>
                <w14:ligatures w14:val="standardContextual"/>
              </w:rPr>
              <w:t>5 ~ 10 min</w:t>
            </w:r>
            <w:r>
              <w:rPr>
                <w:rFonts w:hint="eastAsia" w:ascii="Times New Roman" w:hAnsi="Times New Roman" w:eastAsia="宋体"/>
                <w:b w:val="0"/>
                <w:bCs w:val="0"/>
                <w:sz w:val="18"/>
                <w:szCs w:val="18"/>
                <w:highlight w:val="none"/>
                <w14:ligatures w14:val="standardContextual"/>
              </w:rPr>
              <w:t>，频率以每日或隔日</w:t>
            </w:r>
            <w:r>
              <w:rPr>
                <w:rFonts w:ascii="Times New Roman" w:hAnsi="Times New Roman" w:eastAsia="宋体"/>
                <w:b w:val="0"/>
                <w:bCs w:val="0"/>
                <w:sz w:val="18"/>
                <w:szCs w:val="18"/>
                <w:highlight w:val="none"/>
                <w14:ligatures w14:val="standardContextual"/>
              </w:rPr>
              <w:t>1</w:t>
            </w:r>
            <w:r>
              <w:rPr>
                <w:rFonts w:hint="eastAsia" w:ascii="Times New Roman" w:hAnsi="Times New Roman" w:eastAsia="宋体"/>
                <w:b w:val="0"/>
                <w:bCs w:val="0"/>
                <w:sz w:val="18"/>
                <w:szCs w:val="18"/>
                <w:highlight w:val="none"/>
                <w14:ligatures w14:val="standardContextual"/>
              </w:rPr>
              <w:t>次为宜</w:t>
            </w:r>
          </w:p>
        </w:tc>
      </w:tr>
      <w:tr w14:paraId="5D71CDAA">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vMerge w:val="continue"/>
          </w:tcPr>
          <w:p w14:paraId="64412E6F">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vMerge w:val="continue"/>
          </w:tcPr>
          <w:p w14:paraId="339F548E">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tcPr>
          <w:p w14:paraId="027BAB93">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使用低敏、无香料、中性至酸性</w:t>
            </w:r>
            <w:r>
              <w:rPr>
                <w:rFonts w:ascii="Times New Roman" w:hAnsi="Times New Roman" w:eastAsia="宋体"/>
                <w:b w:val="0"/>
                <w:bCs w:val="0"/>
                <w:sz w:val="18"/>
                <w:szCs w:val="18"/>
                <w:highlight w:val="none"/>
                <w14:ligatures w14:val="standardContextual"/>
              </w:rPr>
              <w:t>pH</w:t>
            </w:r>
            <w:r>
              <w:rPr>
                <w:rFonts w:hint="eastAsia" w:ascii="Times New Roman" w:hAnsi="Times New Roman" w:eastAsia="宋体"/>
                <w:b w:val="0"/>
                <w:bCs w:val="0"/>
                <w:sz w:val="18"/>
                <w:szCs w:val="18"/>
                <w:highlight w:val="none"/>
                <w14:ligatures w14:val="standardContextual"/>
              </w:rPr>
              <w:t>值的非肥皂类清洁剂，使用后冲洗干净</w:t>
            </w:r>
          </w:p>
        </w:tc>
      </w:tr>
      <w:tr w14:paraId="039B71A0">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vMerge w:val="continue"/>
            <w:tcBorders>
              <w:top w:val="single" w:color="7E7E7E" w:themeColor="text1" w:themeTint="80" w:sz="4" w:space="0"/>
              <w:bottom w:val="single" w:color="7E7E7E" w:themeColor="text1" w:themeTint="80" w:sz="4" w:space="0"/>
              <w:insideH w:val="single" w:sz="4" w:space="0"/>
            </w:tcBorders>
          </w:tcPr>
          <w:p w14:paraId="71EBD37D">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vMerge w:val="continue"/>
            <w:tcBorders>
              <w:top w:val="single" w:color="7E7E7E" w:themeColor="text1" w:themeTint="80" w:sz="4" w:space="0"/>
              <w:bottom w:val="single" w:color="7E7E7E" w:themeColor="text1" w:themeTint="80" w:sz="4" w:space="0"/>
              <w:insideH w:val="single" w:sz="4" w:space="0"/>
            </w:tcBorders>
          </w:tcPr>
          <w:p w14:paraId="7F1D665B">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tcBorders>
              <w:top w:val="single" w:color="7E7E7E" w:themeColor="text1" w:themeTint="80" w:sz="4" w:space="0"/>
              <w:bottom w:val="single" w:color="7E7E7E" w:themeColor="text1" w:themeTint="80" w:sz="4" w:space="0"/>
              <w:insideH w:val="single" w:sz="4" w:space="0"/>
            </w:tcBorders>
          </w:tcPr>
          <w:p w14:paraId="25ECAC51">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如皮损有感染倾向，可尝试每周一次或两次添加次氯酸钠等防腐剂的稀释漂白浴</w:t>
            </w:r>
          </w:p>
        </w:tc>
      </w:tr>
      <w:tr w14:paraId="2679BB73">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vMerge w:val="continue"/>
          </w:tcPr>
          <w:p w14:paraId="7D62C490">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vMerge w:val="restart"/>
          </w:tcPr>
          <w:p w14:paraId="511BC66B">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基础润肤</w:t>
            </w:r>
          </w:p>
        </w:tc>
        <w:tc>
          <w:tcPr>
            <w:tcW w:w="0" w:type="dxa"/>
          </w:tcPr>
          <w:p w14:paraId="3197C552">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使用成分单一的润肤剂涂抹全身，包括皮肤正常的部位</w:t>
            </w:r>
          </w:p>
        </w:tc>
      </w:tr>
      <w:tr w14:paraId="592A1BB8">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vMerge w:val="continue"/>
            <w:tcBorders>
              <w:top w:val="single" w:color="7E7E7E" w:themeColor="text1" w:themeTint="80" w:sz="4" w:space="0"/>
              <w:bottom w:val="single" w:color="7E7E7E" w:themeColor="text1" w:themeTint="80" w:sz="4" w:space="0"/>
              <w:insideH w:val="single" w:sz="4" w:space="0"/>
            </w:tcBorders>
          </w:tcPr>
          <w:p w14:paraId="2718EA65">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vMerge w:val="continue"/>
            <w:tcBorders>
              <w:top w:val="single" w:color="7E7E7E" w:themeColor="text1" w:themeTint="80" w:sz="4" w:space="0"/>
              <w:bottom w:val="single" w:color="7E7E7E" w:themeColor="text1" w:themeTint="80" w:sz="4" w:space="0"/>
              <w:insideH w:val="single" w:sz="4" w:space="0"/>
            </w:tcBorders>
          </w:tcPr>
          <w:p w14:paraId="01E4E057">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tcBorders>
              <w:top w:val="single" w:color="7E7E7E" w:themeColor="text1" w:themeTint="80" w:sz="4" w:space="0"/>
              <w:bottom w:val="single" w:color="7E7E7E" w:themeColor="text1" w:themeTint="80" w:sz="4" w:space="0"/>
              <w:insideH w:val="single" w:sz="4" w:space="0"/>
            </w:tcBorders>
          </w:tcPr>
          <w:p w14:paraId="447F0D32">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在沐浴后皮肤仍湿润时立即涂抹润肤剂并轻轻拍干</w:t>
            </w:r>
          </w:p>
        </w:tc>
      </w:tr>
      <w:tr w14:paraId="39801388">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vMerge w:val="continue"/>
          </w:tcPr>
          <w:p w14:paraId="3F76498B">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vMerge w:val="continue"/>
          </w:tcPr>
          <w:p w14:paraId="37F04252">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tcPr>
          <w:p w14:paraId="172D220D">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每天涂抹</w:t>
            </w:r>
            <w:r>
              <w:rPr>
                <w:rFonts w:ascii="Times New Roman" w:hAnsi="Times New Roman" w:eastAsia="宋体"/>
                <w:b w:val="0"/>
                <w:bCs w:val="0"/>
                <w:sz w:val="18"/>
                <w:szCs w:val="18"/>
                <w:highlight w:val="none"/>
                <w14:ligatures w14:val="standardContextual"/>
              </w:rPr>
              <w:t>1 ~ 2</w:t>
            </w:r>
            <w:r>
              <w:rPr>
                <w:rFonts w:hint="eastAsia" w:ascii="Times New Roman" w:hAnsi="Times New Roman" w:eastAsia="宋体"/>
                <w:b w:val="0"/>
                <w:bCs w:val="0"/>
                <w:sz w:val="18"/>
                <w:szCs w:val="18"/>
                <w:highlight w:val="none"/>
                <w14:ligatures w14:val="standardContextual"/>
              </w:rPr>
              <w:t>次，皮损或干燥部位可适当增加次数</w:t>
            </w:r>
          </w:p>
        </w:tc>
      </w:tr>
      <w:tr w14:paraId="27E21600">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vMerge w:val="continue"/>
            <w:tcBorders>
              <w:top w:val="single" w:color="7E7E7E" w:themeColor="text1" w:themeTint="80" w:sz="4" w:space="0"/>
              <w:bottom w:val="single" w:color="7E7E7E" w:themeColor="text1" w:themeTint="80" w:sz="4" w:space="0"/>
              <w:insideH w:val="single" w:sz="4" w:space="0"/>
            </w:tcBorders>
          </w:tcPr>
          <w:p w14:paraId="017A14D6">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vMerge w:val="continue"/>
            <w:tcBorders>
              <w:top w:val="single" w:color="7E7E7E" w:themeColor="text1" w:themeTint="80" w:sz="4" w:space="0"/>
              <w:bottom w:val="single" w:color="7E7E7E" w:themeColor="text1" w:themeTint="80" w:sz="4" w:space="0"/>
              <w:insideH w:val="single" w:sz="4" w:space="0"/>
            </w:tcBorders>
          </w:tcPr>
          <w:p w14:paraId="437E13B5">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tcBorders>
              <w:top w:val="single" w:color="7E7E7E" w:themeColor="text1" w:themeTint="80" w:sz="4" w:space="0"/>
              <w:bottom w:val="single" w:color="7E7E7E" w:themeColor="text1" w:themeTint="80" w:sz="4" w:space="0"/>
              <w:insideH w:val="single" w:sz="4" w:space="0"/>
            </w:tcBorders>
          </w:tcPr>
          <w:p w14:paraId="56C6E8E9">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儿童每周用量</w:t>
            </w:r>
            <w:r>
              <w:rPr>
                <w:rFonts w:ascii="Times New Roman" w:hAnsi="Times New Roman" w:eastAsia="宋体"/>
                <w:b w:val="0"/>
                <w:bCs w:val="0"/>
                <w:sz w:val="18"/>
                <w:szCs w:val="18"/>
                <w:highlight w:val="none"/>
                <w14:ligatures w14:val="standardContextual"/>
              </w:rPr>
              <w:t>100 ~ 250 g</w:t>
            </w:r>
            <w:r>
              <w:rPr>
                <w:rFonts w:hint="eastAsia" w:ascii="Times New Roman" w:hAnsi="Times New Roman" w:eastAsia="宋体"/>
                <w:b w:val="0"/>
                <w:bCs w:val="0"/>
                <w:sz w:val="18"/>
                <w:szCs w:val="18"/>
                <w:highlight w:val="none"/>
                <w14:ligatures w14:val="standardContextual"/>
              </w:rPr>
              <w:t>，成人每周用量</w:t>
            </w:r>
            <w:r>
              <w:rPr>
                <w:rFonts w:ascii="Times New Roman" w:hAnsi="Times New Roman" w:eastAsia="宋体"/>
                <w:b w:val="0"/>
                <w:bCs w:val="0"/>
                <w:sz w:val="18"/>
                <w:szCs w:val="18"/>
                <w:highlight w:val="none"/>
                <w14:ligatures w14:val="standardContextual"/>
              </w:rPr>
              <w:t>250 ~ 500 g</w:t>
            </w:r>
          </w:p>
        </w:tc>
      </w:tr>
      <w:tr w14:paraId="5A313BDE">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vMerge w:val="continue"/>
          </w:tcPr>
          <w:p w14:paraId="2772D24C">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vMerge w:val="continue"/>
          </w:tcPr>
          <w:p w14:paraId="7AFA6E58">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tcPr>
          <w:p w14:paraId="746823C5">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夏季使用亲水性更强的润肤剂，冬季使用脂质含量更高的润肤剂，避免使用纯油产品</w:t>
            </w:r>
          </w:p>
        </w:tc>
      </w:tr>
      <w:tr w14:paraId="38DC664E">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vMerge w:val="continue"/>
            <w:tcBorders>
              <w:top w:val="single" w:color="7E7E7E" w:themeColor="text1" w:themeTint="80" w:sz="4" w:space="0"/>
              <w:bottom w:val="single" w:color="7E7E7E" w:themeColor="text1" w:themeTint="80" w:sz="4" w:space="0"/>
              <w:insideH w:val="single" w:sz="4" w:space="0"/>
            </w:tcBorders>
          </w:tcPr>
          <w:p w14:paraId="2DD2A4DE">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tcBorders>
              <w:top w:val="single" w:color="7E7E7E" w:themeColor="text1" w:themeTint="80" w:sz="4" w:space="0"/>
              <w:bottom w:val="single" w:color="7E7E7E" w:themeColor="text1" w:themeTint="80" w:sz="4" w:space="0"/>
              <w:insideH w:val="single" w:sz="4" w:space="0"/>
            </w:tcBorders>
          </w:tcPr>
          <w:p w14:paraId="050B9DBC">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防晒</w:t>
            </w:r>
          </w:p>
        </w:tc>
        <w:tc>
          <w:tcPr>
            <w:tcW w:w="0" w:type="dxa"/>
            <w:tcBorders>
              <w:top w:val="single" w:color="7E7E7E" w:themeColor="text1" w:themeTint="80" w:sz="4" w:space="0"/>
              <w:bottom w:val="single" w:color="7E7E7E" w:themeColor="text1" w:themeTint="80" w:sz="4" w:space="0"/>
              <w:insideH w:val="single" w:sz="4" w:space="0"/>
            </w:tcBorders>
          </w:tcPr>
          <w:p w14:paraId="29AEFAE8">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避免正午的阳光，定期和充分使用</w:t>
            </w:r>
            <w:r>
              <w:rPr>
                <w:rFonts w:ascii="Times New Roman" w:hAnsi="Times New Roman" w:eastAsia="宋体"/>
                <w:b w:val="0"/>
                <w:bCs w:val="0"/>
                <w:sz w:val="18"/>
                <w:szCs w:val="18"/>
                <w:highlight w:val="none"/>
                <w14:ligatures w14:val="standardContextual"/>
              </w:rPr>
              <w:t>SPF30+</w:t>
            </w:r>
            <w:r>
              <w:rPr>
                <w:rFonts w:hint="eastAsia" w:ascii="Times New Roman" w:hAnsi="Times New Roman" w:eastAsia="宋体"/>
                <w:b w:val="0"/>
                <w:bCs w:val="0"/>
                <w:sz w:val="18"/>
                <w:szCs w:val="18"/>
                <w:highlight w:val="none"/>
                <w14:ligatures w14:val="standardContextual"/>
              </w:rPr>
              <w:t>和无机紫外线过滤剂（二氧化钛和氧化锌）的广谱防晒霜</w:t>
            </w:r>
          </w:p>
        </w:tc>
      </w:tr>
      <w:tr w14:paraId="579399CB">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gridSpan w:val="2"/>
            <w:vMerge w:val="restart"/>
          </w:tcPr>
          <w:p w14:paraId="7A4D97DF">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用药教育</w:t>
            </w:r>
          </w:p>
        </w:tc>
        <w:tc>
          <w:tcPr>
            <w:tcW w:w="0" w:type="dxa"/>
          </w:tcPr>
          <w:p w14:paraId="0DC8488A">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消除患者对</w:t>
            </w:r>
            <w:r>
              <w:rPr>
                <w:rFonts w:ascii="Times New Roman" w:hAnsi="Times New Roman" w:eastAsia="宋体"/>
                <w:b w:val="0"/>
                <w:bCs w:val="0"/>
                <w:sz w:val="18"/>
                <w:szCs w:val="18"/>
                <w:highlight w:val="none"/>
                <w14:ligatures w14:val="standardContextual"/>
              </w:rPr>
              <w:t>TCS</w:t>
            </w:r>
            <w:r>
              <w:rPr>
                <w:rFonts w:hint="eastAsia" w:ascii="Times New Roman" w:hAnsi="Times New Roman" w:eastAsia="宋体"/>
                <w:b w:val="0"/>
                <w:bCs w:val="0"/>
                <w:sz w:val="18"/>
                <w:szCs w:val="18"/>
                <w:highlight w:val="none"/>
                <w14:ligatures w14:val="standardContextual"/>
              </w:rPr>
              <w:t>的恐惧</w:t>
            </w:r>
          </w:p>
        </w:tc>
      </w:tr>
      <w:tr w14:paraId="53887772">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gridSpan w:val="2"/>
            <w:vMerge w:val="continue"/>
            <w:tcBorders>
              <w:top w:val="single" w:color="7E7E7E" w:themeColor="text1" w:themeTint="80" w:sz="4" w:space="0"/>
              <w:bottom w:val="single" w:color="7E7E7E" w:themeColor="text1" w:themeTint="80" w:sz="4" w:space="0"/>
              <w:insideH w:val="single" w:sz="4" w:space="0"/>
            </w:tcBorders>
          </w:tcPr>
          <w:p w14:paraId="547FDB69">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tcBorders>
              <w:top w:val="single" w:color="7E7E7E" w:themeColor="text1" w:themeTint="80" w:sz="4" w:space="0"/>
              <w:bottom w:val="single" w:color="7E7E7E" w:themeColor="text1" w:themeTint="80" w:sz="4" w:space="0"/>
              <w:insideH w:val="single" w:sz="4" w:space="0"/>
            </w:tcBorders>
          </w:tcPr>
          <w:p w14:paraId="48111CBE">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解释各类药物的正确使用方法、预期疗效以及可能出现的不良反应等</w:t>
            </w:r>
          </w:p>
        </w:tc>
      </w:tr>
      <w:tr w14:paraId="409859D8">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gridSpan w:val="2"/>
            <w:vMerge w:val="restart"/>
          </w:tcPr>
          <w:p w14:paraId="355B22C3">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饮食营养教育</w:t>
            </w:r>
          </w:p>
        </w:tc>
        <w:tc>
          <w:tcPr>
            <w:tcW w:w="0" w:type="dxa"/>
          </w:tcPr>
          <w:p w14:paraId="04515E39">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限制卡路里，加上足够的膳食纤维和微量元素摄入</w:t>
            </w:r>
          </w:p>
        </w:tc>
      </w:tr>
      <w:tr w14:paraId="2705AC8A">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gridSpan w:val="2"/>
            <w:vMerge w:val="continue"/>
            <w:tcBorders>
              <w:top w:val="single" w:color="7E7E7E" w:themeColor="text1" w:themeTint="80" w:sz="4" w:space="0"/>
              <w:bottom w:val="single" w:color="7E7E7E" w:themeColor="text1" w:themeTint="80" w:sz="4" w:space="0"/>
              <w:insideH w:val="single" w:sz="4" w:space="0"/>
            </w:tcBorders>
          </w:tcPr>
          <w:p w14:paraId="2FBB8298">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tcBorders>
              <w:top w:val="single" w:color="7E7E7E" w:themeColor="text1" w:themeTint="80" w:sz="4" w:space="0"/>
              <w:bottom w:val="single" w:color="7E7E7E" w:themeColor="text1" w:themeTint="80" w:sz="4" w:space="0"/>
              <w:insideH w:val="single" w:sz="4" w:space="0"/>
            </w:tcBorders>
          </w:tcPr>
          <w:p w14:paraId="478DD3DD">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ascii="Times New Roman" w:hAnsi="Times New Roman" w:eastAsia="宋体"/>
                <w:b w:val="0"/>
                <w:bCs w:val="0"/>
                <w:sz w:val="18"/>
                <w:szCs w:val="18"/>
                <w:highlight w:val="none"/>
                <w14:ligatures w14:val="standardContextual"/>
              </w:rPr>
              <w:t>3-4</w:t>
            </w:r>
            <w:r>
              <w:rPr>
                <w:rFonts w:hint="eastAsia" w:ascii="Times New Roman" w:hAnsi="Times New Roman" w:eastAsia="宋体"/>
                <w:b w:val="0"/>
                <w:bCs w:val="0"/>
                <w:sz w:val="18"/>
                <w:szCs w:val="18"/>
                <w:highlight w:val="none"/>
                <w14:ligatures w14:val="standardContextual"/>
              </w:rPr>
              <w:t>个月的纯母乳喂养，在无法进行母乳喂养或禁忌母乳喂养的情况下，牛奶配方奶粉和低过敏性配方奶粉可分别作为低风险和高风险儿童的替代品</w:t>
            </w:r>
          </w:p>
        </w:tc>
      </w:tr>
      <w:tr w14:paraId="73566B84">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gridSpan w:val="2"/>
            <w:vMerge w:val="restart"/>
            <w:tcBorders>
              <w:top w:val="single" w:color="7E7E7E" w:themeColor="text1" w:themeTint="80" w:sz="4" w:space="0"/>
              <w:bottom w:val="single" w:color="7E7E7E" w:themeColor="text1" w:themeTint="80" w:sz="4" w:space="0"/>
            </w:tcBorders>
          </w:tcPr>
          <w:p w14:paraId="1FB8E926">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随访教育</w:t>
            </w:r>
          </w:p>
        </w:tc>
        <w:tc>
          <w:tcPr>
            <w:tcW w:w="0" w:type="dxa"/>
            <w:tcBorders>
              <w:top w:val="single" w:color="7E7E7E" w:themeColor="text1" w:themeTint="80" w:sz="4" w:space="0"/>
              <w:bottom w:val="single" w:color="7E7E7E" w:themeColor="text1" w:themeTint="80" w:sz="4" w:space="0"/>
            </w:tcBorders>
          </w:tcPr>
          <w:p w14:paraId="13D5276E">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轻度</w:t>
            </w:r>
            <w:r>
              <w:rPr>
                <w:rFonts w:ascii="Times New Roman" w:hAnsi="Times New Roman" w:eastAsia="宋体"/>
                <w:b w:val="0"/>
                <w:bCs w:val="0"/>
                <w:sz w:val="18"/>
                <w:szCs w:val="18"/>
                <w:highlight w:val="none"/>
                <w14:ligatures w14:val="standardContextual"/>
              </w:rPr>
              <w:t>AD</w:t>
            </w:r>
            <w:r>
              <w:rPr>
                <w:rFonts w:hint="eastAsia" w:ascii="Times New Roman" w:hAnsi="Times New Roman" w:eastAsia="宋体"/>
                <w:b w:val="0"/>
                <w:bCs w:val="0"/>
                <w:sz w:val="18"/>
                <w:szCs w:val="18"/>
                <w:highlight w:val="none"/>
                <w14:ligatures w14:val="standardContextual"/>
              </w:rPr>
              <w:t>患者起始系统药物治疗后第</w:t>
            </w:r>
            <w:r>
              <w:rPr>
                <w:rFonts w:ascii="Times New Roman" w:hAnsi="Times New Roman" w:eastAsia="宋体"/>
                <w:b w:val="0"/>
                <w:bCs w:val="0"/>
                <w:sz w:val="18"/>
                <w:szCs w:val="18"/>
                <w:highlight w:val="none"/>
                <w14:ligatures w14:val="standardContextual"/>
              </w:rPr>
              <w:t>1</w:t>
            </w:r>
            <w:r>
              <w:rPr>
                <w:rFonts w:hint="eastAsia" w:ascii="Times New Roman" w:hAnsi="Times New Roman" w:eastAsia="宋体"/>
                <w:b w:val="0"/>
                <w:bCs w:val="0"/>
                <w:sz w:val="18"/>
                <w:szCs w:val="18"/>
                <w:highlight w:val="none"/>
                <w14:ligatures w14:val="standardContextual"/>
              </w:rPr>
              <w:t>周、</w:t>
            </w:r>
            <w:r>
              <w:rPr>
                <w:rFonts w:ascii="Times New Roman" w:hAnsi="Times New Roman" w:eastAsia="宋体"/>
                <w:b w:val="0"/>
                <w:bCs w:val="0"/>
                <w:sz w:val="18"/>
                <w:szCs w:val="18"/>
                <w:highlight w:val="none"/>
                <w14:ligatures w14:val="standardContextual"/>
              </w:rPr>
              <w:t>2</w:t>
            </w:r>
            <w:r>
              <w:rPr>
                <w:rFonts w:hint="eastAsia" w:ascii="Times New Roman" w:hAnsi="Times New Roman" w:eastAsia="宋体"/>
                <w:b w:val="0"/>
                <w:bCs w:val="0"/>
                <w:sz w:val="18"/>
                <w:szCs w:val="18"/>
                <w:highlight w:val="none"/>
                <w14:ligatures w14:val="standardContextual"/>
              </w:rPr>
              <w:t>周、</w:t>
            </w:r>
            <w:r>
              <w:rPr>
                <w:rFonts w:ascii="Times New Roman" w:hAnsi="Times New Roman" w:eastAsia="宋体"/>
                <w:b w:val="0"/>
                <w:bCs w:val="0"/>
                <w:sz w:val="18"/>
                <w:szCs w:val="18"/>
                <w:highlight w:val="none"/>
                <w14:ligatures w14:val="standardContextual"/>
              </w:rPr>
              <w:t>4</w:t>
            </w:r>
            <w:r>
              <w:rPr>
                <w:rFonts w:hint="eastAsia" w:ascii="Times New Roman" w:hAnsi="Times New Roman" w:eastAsia="宋体"/>
                <w:b w:val="0"/>
                <w:bCs w:val="0"/>
                <w:sz w:val="18"/>
                <w:szCs w:val="18"/>
                <w:highlight w:val="none"/>
                <w14:ligatures w14:val="standardContextual"/>
              </w:rPr>
              <w:t>周、</w:t>
            </w:r>
            <w:r>
              <w:rPr>
                <w:rFonts w:ascii="Times New Roman" w:hAnsi="Times New Roman" w:eastAsia="宋体"/>
                <w:b w:val="0"/>
                <w:bCs w:val="0"/>
                <w:sz w:val="18"/>
                <w:szCs w:val="18"/>
                <w:highlight w:val="none"/>
                <w14:ligatures w14:val="standardContextual"/>
              </w:rPr>
              <w:t>6</w:t>
            </w:r>
            <w:r>
              <w:rPr>
                <w:rFonts w:hint="eastAsia" w:ascii="Times New Roman" w:hAnsi="Times New Roman" w:eastAsia="宋体"/>
                <w:b w:val="0"/>
                <w:bCs w:val="0"/>
                <w:sz w:val="18"/>
                <w:szCs w:val="18"/>
                <w:highlight w:val="none"/>
                <w14:ligatures w14:val="standardContextual"/>
              </w:rPr>
              <w:t>周、</w:t>
            </w:r>
            <w:r>
              <w:rPr>
                <w:rFonts w:ascii="Times New Roman" w:hAnsi="Times New Roman" w:eastAsia="宋体"/>
                <w:b w:val="0"/>
                <w:bCs w:val="0"/>
                <w:sz w:val="18"/>
                <w:szCs w:val="18"/>
                <w:highlight w:val="none"/>
                <w14:ligatures w14:val="standardContextual"/>
              </w:rPr>
              <w:t>8</w:t>
            </w:r>
            <w:r>
              <w:rPr>
                <w:rFonts w:hint="eastAsia" w:ascii="Times New Roman" w:hAnsi="Times New Roman" w:eastAsia="宋体"/>
                <w:b w:val="0"/>
                <w:bCs w:val="0"/>
                <w:sz w:val="18"/>
                <w:szCs w:val="18"/>
                <w:highlight w:val="none"/>
                <w14:ligatures w14:val="standardContextual"/>
              </w:rPr>
              <w:t>周、</w:t>
            </w:r>
            <w:r>
              <w:rPr>
                <w:rFonts w:ascii="Times New Roman" w:hAnsi="Times New Roman" w:eastAsia="宋体"/>
                <w:b w:val="0"/>
                <w:bCs w:val="0"/>
                <w:sz w:val="18"/>
                <w:szCs w:val="18"/>
                <w:highlight w:val="none"/>
                <w14:ligatures w14:val="standardContextual"/>
              </w:rPr>
              <w:t>12</w:t>
            </w:r>
            <w:r>
              <w:rPr>
                <w:rFonts w:hint="eastAsia" w:ascii="Times New Roman" w:hAnsi="Times New Roman" w:eastAsia="宋体"/>
                <w:b w:val="0"/>
                <w:bCs w:val="0"/>
                <w:sz w:val="18"/>
                <w:szCs w:val="18"/>
                <w:highlight w:val="none"/>
                <w14:ligatures w14:val="standardContextual"/>
              </w:rPr>
              <w:t>周随访</w:t>
            </w:r>
          </w:p>
        </w:tc>
      </w:tr>
      <w:tr w14:paraId="47D1ADC2">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gridSpan w:val="2"/>
            <w:vMerge w:val="continue"/>
            <w:tcBorders>
              <w:top w:val="single" w:color="7E7E7E" w:themeColor="text1" w:themeTint="80" w:sz="4" w:space="0"/>
              <w:bottom w:val="single" w:color="7E7E7E" w:themeColor="text1" w:themeTint="80" w:sz="4" w:space="0"/>
              <w:insideH w:val="single" w:sz="4" w:space="0"/>
            </w:tcBorders>
          </w:tcPr>
          <w:p w14:paraId="5567AEDF">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tcBorders>
              <w:top w:val="single" w:color="7E7E7E" w:themeColor="text1" w:themeTint="80" w:sz="4" w:space="0"/>
              <w:bottom w:val="single" w:color="7E7E7E" w:themeColor="text1" w:themeTint="80" w:sz="4" w:space="0"/>
              <w:insideH w:val="single" w:sz="4" w:space="0"/>
            </w:tcBorders>
          </w:tcPr>
          <w:p w14:paraId="05AC8E09">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中重度</w:t>
            </w:r>
            <w:r>
              <w:rPr>
                <w:rFonts w:ascii="Times New Roman" w:hAnsi="Times New Roman" w:eastAsia="宋体"/>
                <w:b w:val="0"/>
                <w:bCs w:val="0"/>
                <w:sz w:val="18"/>
                <w:szCs w:val="18"/>
                <w:highlight w:val="none"/>
                <w14:ligatures w14:val="standardContextual"/>
              </w:rPr>
              <w:t>AD</w:t>
            </w:r>
            <w:r>
              <w:rPr>
                <w:rFonts w:hint="eastAsia" w:ascii="Times New Roman" w:hAnsi="Times New Roman" w:eastAsia="宋体"/>
                <w:b w:val="0"/>
                <w:bCs w:val="0"/>
                <w:sz w:val="18"/>
                <w:szCs w:val="18"/>
                <w:highlight w:val="none"/>
                <w14:ligatures w14:val="standardContextual"/>
              </w:rPr>
              <w:t>患者起始系统药物治疗后第</w:t>
            </w:r>
            <w:r>
              <w:rPr>
                <w:rFonts w:ascii="Times New Roman" w:hAnsi="Times New Roman" w:eastAsia="宋体"/>
                <w:b w:val="0"/>
                <w:bCs w:val="0"/>
                <w:sz w:val="18"/>
                <w:szCs w:val="18"/>
                <w:highlight w:val="none"/>
                <w14:ligatures w14:val="standardContextual"/>
              </w:rPr>
              <w:t>2</w:t>
            </w:r>
            <w:r>
              <w:rPr>
                <w:rFonts w:hint="eastAsia" w:ascii="Times New Roman" w:hAnsi="Times New Roman" w:eastAsia="宋体"/>
                <w:b w:val="0"/>
                <w:bCs w:val="0"/>
                <w:sz w:val="18"/>
                <w:szCs w:val="18"/>
                <w:highlight w:val="none"/>
                <w14:ligatures w14:val="standardContextual"/>
              </w:rPr>
              <w:t>周、</w:t>
            </w:r>
            <w:r>
              <w:rPr>
                <w:rFonts w:ascii="Times New Roman" w:hAnsi="Times New Roman" w:eastAsia="宋体"/>
                <w:b w:val="0"/>
                <w:bCs w:val="0"/>
                <w:sz w:val="18"/>
                <w:szCs w:val="18"/>
                <w:highlight w:val="none"/>
                <w14:ligatures w14:val="standardContextual"/>
              </w:rPr>
              <w:t>4</w:t>
            </w:r>
            <w:r>
              <w:rPr>
                <w:rFonts w:hint="eastAsia" w:ascii="Times New Roman" w:hAnsi="Times New Roman" w:eastAsia="宋体"/>
                <w:b w:val="0"/>
                <w:bCs w:val="0"/>
                <w:sz w:val="18"/>
                <w:szCs w:val="18"/>
                <w:highlight w:val="none"/>
                <w14:ligatures w14:val="standardContextual"/>
              </w:rPr>
              <w:t>周、</w:t>
            </w:r>
            <w:r>
              <w:rPr>
                <w:rFonts w:ascii="Times New Roman" w:hAnsi="Times New Roman" w:eastAsia="宋体"/>
                <w:b w:val="0"/>
                <w:bCs w:val="0"/>
                <w:sz w:val="18"/>
                <w:szCs w:val="18"/>
                <w:highlight w:val="none"/>
                <w14:ligatures w14:val="standardContextual"/>
              </w:rPr>
              <w:t>8</w:t>
            </w:r>
            <w:r>
              <w:rPr>
                <w:rFonts w:hint="eastAsia" w:ascii="Times New Roman" w:hAnsi="Times New Roman" w:eastAsia="宋体"/>
                <w:b w:val="0"/>
                <w:bCs w:val="0"/>
                <w:sz w:val="18"/>
                <w:szCs w:val="18"/>
                <w:highlight w:val="none"/>
                <w14:ligatures w14:val="standardContextual"/>
              </w:rPr>
              <w:t>周、</w:t>
            </w:r>
            <w:r>
              <w:rPr>
                <w:rFonts w:ascii="Times New Roman" w:hAnsi="Times New Roman" w:eastAsia="宋体"/>
                <w:b w:val="0"/>
                <w:bCs w:val="0"/>
                <w:sz w:val="18"/>
                <w:szCs w:val="18"/>
                <w:highlight w:val="none"/>
                <w14:ligatures w14:val="standardContextual"/>
              </w:rPr>
              <w:t>12</w:t>
            </w:r>
            <w:r>
              <w:rPr>
                <w:rFonts w:hint="eastAsia" w:ascii="Times New Roman" w:hAnsi="Times New Roman" w:eastAsia="宋体"/>
                <w:b w:val="0"/>
                <w:bCs w:val="0"/>
                <w:sz w:val="18"/>
                <w:szCs w:val="18"/>
                <w:highlight w:val="none"/>
                <w14:ligatures w14:val="standardContextual"/>
              </w:rPr>
              <w:t>周、</w:t>
            </w:r>
            <w:r>
              <w:rPr>
                <w:rFonts w:ascii="Times New Roman" w:hAnsi="Times New Roman" w:eastAsia="宋体"/>
                <w:b w:val="0"/>
                <w:bCs w:val="0"/>
                <w:sz w:val="18"/>
                <w:szCs w:val="18"/>
                <w:highlight w:val="none"/>
                <w14:ligatures w14:val="standardContextual"/>
              </w:rPr>
              <w:t>16</w:t>
            </w:r>
            <w:r>
              <w:rPr>
                <w:rFonts w:hint="eastAsia" w:ascii="Times New Roman" w:hAnsi="Times New Roman" w:eastAsia="宋体"/>
                <w:b w:val="0"/>
                <w:bCs w:val="0"/>
                <w:sz w:val="18"/>
                <w:szCs w:val="18"/>
                <w:highlight w:val="none"/>
                <w14:ligatures w14:val="standardContextual"/>
              </w:rPr>
              <w:t>周、</w:t>
            </w:r>
            <w:r>
              <w:rPr>
                <w:rFonts w:ascii="Times New Roman" w:hAnsi="Times New Roman" w:eastAsia="宋体"/>
                <w:b w:val="0"/>
                <w:bCs w:val="0"/>
                <w:sz w:val="18"/>
                <w:szCs w:val="18"/>
                <w:highlight w:val="none"/>
                <w14:ligatures w14:val="standardContextual"/>
              </w:rPr>
              <w:t>6</w:t>
            </w:r>
            <w:r>
              <w:rPr>
                <w:rFonts w:hint="eastAsia" w:ascii="Times New Roman" w:hAnsi="Times New Roman" w:eastAsia="宋体"/>
                <w:b w:val="0"/>
                <w:bCs w:val="0"/>
                <w:sz w:val="18"/>
                <w:szCs w:val="18"/>
                <w:highlight w:val="none"/>
                <w14:ligatures w14:val="standardContextual"/>
              </w:rPr>
              <w:t>个月、</w:t>
            </w:r>
            <w:r>
              <w:rPr>
                <w:rFonts w:ascii="Times New Roman" w:hAnsi="Times New Roman" w:eastAsia="宋体"/>
                <w:b w:val="0"/>
                <w:bCs w:val="0"/>
                <w:sz w:val="18"/>
                <w:szCs w:val="18"/>
                <w:highlight w:val="none"/>
                <w14:ligatures w14:val="standardContextual"/>
              </w:rPr>
              <w:t>9</w:t>
            </w:r>
            <w:r>
              <w:rPr>
                <w:rFonts w:hint="eastAsia" w:ascii="Times New Roman" w:hAnsi="Times New Roman" w:eastAsia="宋体"/>
                <w:b w:val="0"/>
                <w:bCs w:val="0"/>
                <w:sz w:val="18"/>
                <w:szCs w:val="18"/>
                <w:highlight w:val="none"/>
                <w14:ligatures w14:val="standardContextual"/>
              </w:rPr>
              <w:t>个月、</w:t>
            </w:r>
            <w:r>
              <w:rPr>
                <w:rFonts w:ascii="Times New Roman" w:hAnsi="Times New Roman" w:eastAsia="宋体"/>
                <w:b w:val="0"/>
                <w:bCs w:val="0"/>
                <w:sz w:val="18"/>
                <w:szCs w:val="18"/>
                <w:highlight w:val="none"/>
                <w14:ligatures w14:val="standardContextual"/>
              </w:rPr>
              <w:t>12</w:t>
            </w:r>
            <w:r>
              <w:rPr>
                <w:rFonts w:hint="eastAsia" w:ascii="Times New Roman" w:hAnsi="Times New Roman" w:eastAsia="宋体"/>
                <w:b w:val="0"/>
                <w:bCs w:val="0"/>
                <w:sz w:val="18"/>
                <w:szCs w:val="18"/>
                <w:highlight w:val="none"/>
                <w14:ligatures w14:val="standardContextual"/>
              </w:rPr>
              <w:t>个月随访</w:t>
            </w:r>
          </w:p>
        </w:tc>
      </w:tr>
      <w:tr w14:paraId="00A9AF24">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dxa"/>
            <w:gridSpan w:val="2"/>
            <w:vMerge w:val="continue"/>
            <w:tcBorders>
              <w:top w:val="single" w:color="7E7E7E" w:themeColor="text1" w:themeTint="80" w:sz="4" w:space="0"/>
              <w:bottom w:val="single" w:color="auto" w:sz="8" w:space="0"/>
            </w:tcBorders>
          </w:tcPr>
          <w:p w14:paraId="5203D80C">
            <w:pPr>
              <w:keepNext w:val="0"/>
              <w:keepLines w:val="0"/>
              <w:pageBreakBefore w:val="0"/>
              <w:widowControl w:val="0"/>
              <w:kinsoku/>
              <w:wordWrap/>
              <w:overflowPunct/>
              <w:topLinePunct w:val="0"/>
              <w:autoSpaceDE/>
              <w:autoSpaceDN/>
              <w:bidi w:val="0"/>
              <w:adjustRightInd/>
              <w:snapToGrid w:val="0"/>
              <w:spacing w:line="324" w:lineRule="auto"/>
              <w:ind w:firstLine="360" w:firstLineChars="200"/>
              <w:textAlignment w:val="auto"/>
              <w:rPr>
                <w:rFonts w:ascii="Times New Roman" w:hAnsi="Times New Roman" w:eastAsia="宋体"/>
                <w:b w:val="0"/>
                <w:bCs w:val="0"/>
                <w:sz w:val="18"/>
                <w:szCs w:val="18"/>
                <w:highlight w:val="none"/>
                <w14:ligatures w14:val="standardContextual"/>
              </w:rPr>
            </w:pPr>
          </w:p>
        </w:tc>
        <w:tc>
          <w:tcPr>
            <w:tcW w:w="0" w:type="dxa"/>
            <w:tcBorders>
              <w:top w:val="single" w:color="7E7E7E" w:themeColor="text1" w:themeTint="80" w:sz="4" w:space="0"/>
              <w:bottom w:val="single" w:color="auto" w:sz="8" w:space="0"/>
            </w:tcBorders>
          </w:tcPr>
          <w:p w14:paraId="788425C3">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宋体"/>
                <w:b w:val="0"/>
                <w:bCs w:val="0"/>
                <w:sz w:val="18"/>
                <w:szCs w:val="18"/>
                <w:highlight w:val="none"/>
                <w14:ligatures w14:val="standardContextual"/>
              </w:rPr>
            </w:pPr>
            <w:r>
              <w:rPr>
                <w:rFonts w:hint="eastAsia" w:ascii="Times New Roman" w:hAnsi="Times New Roman" w:eastAsia="宋体"/>
                <w:b w:val="0"/>
                <w:bCs w:val="0"/>
                <w:sz w:val="18"/>
                <w:szCs w:val="18"/>
                <w:highlight w:val="none"/>
                <w14:ligatures w14:val="standardContextual"/>
              </w:rPr>
              <w:t>拍照记录皮疹情况，或者记录生活日记</w:t>
            </w:r>
          </w:p>
        </w:tc>
      </w:tr>
    </w:tbl>
    <w:p w14:paraId="4D6E5DC6">
      <w:pPr>
        <w:keepNext w:val="0"/>
        <w:keepLines w:val="0"/>
        <w:pageBreakBefore w:val="0"/>
        <w:widowControl w:val="0"/>
        <w:kinsoku/>
        <w:wordWrap/>
        <w:overflowPunct/>
        <w:topLinePunct w:val="0"/>
        <w:autoSpaceDE/>
        <w:autoSpaceDN/>
        <w:bidi w:val="0"/>
        <w:adjustRightInd/>
        <w:snapToGrid w:val="0"/>
        <w:spacing w:line="324" w:lineRule="auto"/>
        <w:textAlignment w:val="auto"/>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MDY1ZGVlMmM0M2Q1YTE2ZDg5ZWEzZDg4ZGZmNmUifQ=="/>
  </w:docVars>
  <w:rsids>
    <w:rsidRoot w:val="00000000"/>
    <w:rsid w:val="1EED5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Plain Table 2"/>
    <w:basedOn w:val="2"/>
    <w:qFormat/>
    <w:uiPriority w:val="42"/>
    <w:rPr>
      <w:sz w:val="22"/>
      <w:szCs w:val="24"/>
      <w14:ligatures w14:val="standardContextual"/>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2024-07-18T00:56:58Z</dcterms:created>
  <dc:creator>Lenovo</dc:creator>
  <cp:lastModifiedBy>柠檬史努比</cp:lastModifiedBy>
  <dcterms:modified xsi:type="dcterms:W3CDTF">2024-07-18T00:58:08Z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9E7BFC10098143BDA6BA13DF36C0C5CE_12</vt:lpwstr>
  </property>
</Properties>
</file>